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CB5008" w:rsidRDefault="00056FDB" w:rsidP="006C5916">
      <w:pPr>
        <w:spacing w:after="0" w:line="240" w:lineRule="auto"/>
        <w:rPr>
          <w:rFonts w:cstheme="minorHAnsi"/>
          <w:i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852"/>
        <w:gridCol w:w="2244"/>
      </w:tblGrid>
      <w:tr w:rsidR="00E456AB" w:rsidRPr="00CB5008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CB5008" w:rsidRDefault="00E456AB" w:rsidP="004217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b/>
                <w:sz w:val="20"/>
                <w:szCs w:val="20"/>
              </w:rPr>
              <w:t>KARTA DO GŁOSOWANIA W POSTĘPOWANIU O ZATWIERDZENIE UKŁADU</w:t>
            </w:r>
          </w:p>
        </w:tc>
      </w:tr>
      <w:tr w:rsidR="007156E8" w:rsidRPr="00CB500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CB5008" w:rsidRDefault="00152FEC" w:rsidP="00152F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>A. DŁUŻNIK</w:t>
            </w:r>
          </w:p>
        </w:tc>
      </w:tr>
      <w:tr w:rsidR="00E456AB" w:rsidRPr="00CB5008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CB5008" w:rsidRDefault="003D7F27" w:rsidP="00250561">
            <w:pPr>
              <w:jc w:val="both"/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>A.</w:t>
            </w:r>
            <w:r w:rsidR="007156E8" w:rsidRPr="00CB5008">
              <w:rPr>
                <w:rFonts w:cstheme="minorHAnsi"/>
                <w:sz w:val="20"/>
                <w:szCs w:val="20"/>
              </w:rPr>
              <w:t>1. I</w:t>
            </w:r>
            <w:r w:rsidR="00E456AB" w:rsidRPr="00CB5008">
              <w:rPr>
                <w:rFonts w:cstheme="minorHAnsi"/>
                <w:sz w:val="20"/>
                <w:szCs w:val="20"/>
              </w:rPr>
              <w:t xml:space="preserve">mię i nazwisko, numer PESEL albo rodzaj i numer dokumentu potwierdzającego tożsamość dłużnika, nieposiadającego numeru PESEL/nazwa </w:t>
            </w:r>
            <w:r w:rsidR="00C222B9" w:rsidRPr="00CB5008">
              <w:rPr>
                <w:rFonts w:cstheme="minorHAnsi"/>
                <w:sz w:val="20"/>
                <w:szCs w:val="20"/>
              </w:rPr>
              <w:t>ze wskazaniem</w:t>
            </w:r>
            <w:r w:rsidRPr="00CB5008">
              <w:rPr>
                <w:rFonts w:cstheme="minorHAnsi"/>
                <w:sz w:val="20"/>
                <w:szCs w:val="20"/>
              </w:rPr>
              <w:t xml:space="preserve"> numer</w:t>
            </w:r>
            <w:r w:rsidR="00C222B9" w:rsidRPr="00CB5008">
              <w:rPr>
                <w:rFonts w:cstheme="minorHAnsi"/>
                <w:sz w:val="20"/>
                <w:szCs w:val="20"/>
              </w:rPr>
              <w:t>u</w:t>
            </w:r>
            <w:r w:rsidRPr="00CB5008">
              <w:rPr>
                <w:rFonts w:cstheme="minorHAnsi"/>
                <w:sz w:val="20"/>
                <w:szCs w:val="20"/>
              </w:rPr>
              <w:t xml:space="preserve"> w </w:t>
            </w:r>
            <w:r w:rsidR="00250561" w:rsidRPr="00CB5008">
              <w:rPr>
                <w:rFonts w:cstheme="minorHAnsi"/>
                <w:sz w:val="20"/>
                <w:szCs w:val="20"/>
              </w:rPr>
              <w:t>Krajowym Rejestrze Sądowym</w:t>
            </w:r>
            <w:r w:rsidRPr="00CB5008">
              <w:rPr>
                <w:rFonts w:cstheme="minorHAnsi"/>
                <w:sz w:val="20"/>
                <w:szCs w:val="20"/>
              </w:rPr>
              <w:t xml:space="preserve"> </w:t>
            </w:r>
            <w:r w:rsidR="00E456AB" w:rsidRPr="00CB5008">
              <w:rPr>
                <w:rFonts w:cstheme="minorHAnsi"/>
                <w:sz w:val="20"/>
                <w:szCs w:val="20"/>
              </w:rPr>
              <w:t>albo numer</w:t>
            </w:r>
            <w:r w:rsidR="00C222B9" w:rsidRPr="00CB5008">
              <w:rPr>
                <w:rFonts w:cstheme="minorHAnsi"/>
                <w:sz w:val="20"/>
                <w:szCs w:val="20"/>
              </w:rPr>
              <w:t>u</w:t>
            </w:r>
            <w:r w:rsidR="00E456AB" w:rsidRPr="00CB5008">
              <w:rPr>
                <w:rFonts w:cstheme="minorHAnsi"/>
                <w:sz w:val="20"/>
                <w:szCs w:val="20"/>
              </w:rPr>
              <w:t xml:space="preserve"> w rejestrze zagranicznym; w przypadku braku wskazanych danych należy podać inne dane umożliwiające jedn</w:t>
            </w:r>
            <w:r w:rsidR="007156E8" w:rsidRPr="00CB5008">
              <w:rPr>
                <w:rFonts w:cstheme="minorHAnsi"/>
                <w:sz w:val="20"/>
                <w:szCs w:val="20"/>
              </w:rPr>
              <w:t>oznaczną identyfikację dłużnika</w:t>
            </w:r>
          </w:p>
        </w:tc>
      </w:tr>
      <w:tr w:rsidR="00E456AB" w:rsidRPr="00CB5008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087C00DC" w14:textId="77777777" w:rsidR="00CB5008" w:rsidRPr="00CB5008" w:rsidRDefault="00CB5008" w:rsidP="008448B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5008">
              <w:rPr>
                <w:rFonts w:cstheme="minorHAnsi"/>
                <w:b/>
                <w:bCs/>
                <w:sz w:val="20"/>
                <w:szCs w:val="20"/>
              </w:rPr>
              <w:t xml:space="preserve">STANDO Logistics spółka z ograniczoną odpowiedzialnością </w:t>
            </w:r>
          </w:p>
          <w:p w14:paraId="2DAB51FA" w14:textId="39D6BF65" w:rsidR="00E10331" w:rsidRPr="00CB5008" w:rsidRDefault="00E10331" w:rsidP="00CB50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 xml:space="preserve">KRS: </w:t>
            </w:r>
            <w:r w:rsidR="00CB5008" w:rsidRPr="00CB5008">
              <w:rPr>
                <w:rFonts w:cstheme="minorHAnsi"/>
                <w:sz w:val="20"/>
                <w:szCs w:val="20"/>
              </w:rPr>
              <w:t>0000672660</w:t>
            </w:r>
            <w:r w:rsidRPr="00CB5008">
              <w:rPr>
                <w:rFonts w:cstheme="minorHAnsi"/>
                <w:sz w:val="20"/>
                <w:szCs w:val="20"/>
              </w:rPr>
              <w:t xml:space="preserve">, NIP: </w:t>
            </w:r>
            <w:r w:rsidR="00CB5008" w:rsidRPr="00CB5008">
              <w:rPr>
                <w:rFonts w:cstheme="minorHAnsi"/>
                <w:sz w:val="20"/>
                <w:szCs w:val="20"/>
              </w:rPr>
              <w:t>9492216548</w:t>
            </w:r>
            <w:r w:rsidRPr="00CB5008">
              <w:rPr>
                <w:rFonts w:cstheme="minorHAnsi"/>
                <w:sz w:val="20"/>
                <w:szCs w:val="20"/>
              </w:rPr>
              <w:t xml:space="preserve">, REGON: </w:t>
            </w:r>
            <w:r w:rsidR="00CB5008" w:rsidRPr="00CB5008">
              <w:rPr>
                <w:rFonts w:cstheme="minorHAnsi"/>
                <w:sz w:val="20"/>
                <w:szCs w:val="20"/>
              </w:rPr>
              <w:t>367010244</w:t>
            </w:r>
          </w:p>
          <w:p w14:paraId="47278D7C" w14:textId="367B20E5" w:rsidR="00B155BD" w:rsidRPr="00CB5008" w:rsidRDefault="00B155BD" w:rsidP="00DB62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456AB" w:rsidRPr="00CB5008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CB5008" w:rsidRDefault="007305A6" w:rsidP="00250561">
            <w:pPr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>A.</w:t>
            </w:r>
            <w:r w:rsidR="00152FEC" w:rsidRPr="00CB5008">
              <w:rPr>
                <w:rFonts w:cstheme="minorHAnsi"/>
                <w:sz w:val="20"/>
                <w:szCs w:val="20"/>
              </w:rPr>
              <w:t>2</w:t>
            </w:r>
            <w:r w:rsidR="003D7F27" w:rsidRPr="00CB5008">
              <w:rPr>
                <w:rFonts w:cstheme="minorHAnsi"/>
                <w:sz w:val="20"/>
                <w:szCs w:val="20"/>
              </w:rPr>
              <w:t>.</w:t>
            </w:r>
            <w:r w:rsidR="00250561" w:rsidRPr="00CB5008">
              <w:rPr>
                <w:rFonts w:cstheme="minorHAnsi"/>
                <w:sz w:val="20"/>
                <w:szCs w:val="20"/>
              </w:rPr>
              <w:t xml:space="preserve"> </w:t>
            </w:r>
            <w:r w:rsidR="00E456AB" w:rsidRPr="00CB5008">
              <w:rPr>
                <w:rFonts w:cstheme="minorHAnsi"/>
                <w:sz w:val="20"/>
                <w:szCs w:val="20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54950652" w:rsidR="00E456AB" w:rsidRPr="00CB5008" w:rsidRDefault="00CB5008" w:rsidP="00E456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5008">
              <w:rPr>
                <w:rFonts w:cstheme="minorHAnsi"/>
                <w:b/>
                <w:bCs/>
                <w:sz w:val="20"/>
                <w:szCs w:val="20"/>
              </w:rPr>
              <w:t xml:space="preserve">Częstochowa </w:t>
            </w:r>
          </w:p>
        </w:tc>
      </w:tr>
      <w:tr w:rsidR="00E456AB" w:rsidRPr="00CB5008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Pr="00CB5008" w:rsidRDefault="00152FEC" w:rsidP="00250561">
            <w:pPr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>A.3</w:t>
            </w:r>
            <w:r w:rsidR="003D7F27" w:rsidRPr="00CB5008">
              <w:rPr>
                <w:rFonts w:cstheme="minorHAnsi"/>
                <w:sz w:val="20"/>
                <w:szCs w:val="20"/>
              </w:rPr>
              <w:t>.</w:t>
            </w:r>
            <w:r w:rsidR="00250561" w:rsidRPr="00CB5008">
              <w:rPr>
                <w:rFonts w:cstheme="minorHAnsi"/>
                <w:sz w:val="20"/>
                <w:szCs w:val="20"/>
              </w:rPr>
              <w:t xml:space="preserve"> </w:t>
            </w:r>
            <w:r w:rsidR="00E456AB" w:rsidRPr="00CB5008">
              <w:rPr>
                <w:rFonts w:cstheme="minorHAnsi"/>
                <w:sz w:val="20"/>
                <w:szCs w:val="20"/>
              </w:rPr>
              <w:t>Adres (nazwa ulicy, nr domu, numer lokalu, kod pocztowy, poczta</w:t>
            </w:r>
            <w:r w:rsidR="00DF72BB" w:rsidRPr="00CB500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44F8B6A1" w:rsidR="00E456AB" w:rsidRPr="00CB5008" w:rsidRDefault="00CB5008" w:rsidP="00E456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5008">
              <w:rPr>
                <w:rFonts w:cstheme="minorHAnsi"/>
                <w:b/>
                <w:bCs/>
                <w:sz w:val="20"/>
                <w:szCs w:val="20"/>
              </w:rPr>
              <w:t>ul. Jagiellońska 1/104, 42-216 Częstochowa</w:t>
            </w:r>
          </w:p>
        </w:tc>
      </w:tr>
      <w:tr w:rsidR="00E456AB" w:rsidRPr="00CB5008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CB5008" w:rsidRDefault="00152FEC" w:rsidP="00427319">
            <w:pPr>
              <w:jc w:val="both"/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>A.4</w:t>
            </w:r>
            <w:r w:rsidR="003D7F27" w:rsidRPr="00CB5008">
              <w:rPr>
                <w:rFonts w:cstheme="minorHAnsi"/>
                <w:sz w:val="20"/>
                <w:szCs w:val="20"/>
              </w:rPr>
              <w:t>.</w:t>
            </w:r>
            <w:r w:rsidR="00250561" w:rsidRPr="00CB5008">
              <w:rPr>
                <w:rFonts w:cstheme="minorHAnsi"/>
                <w:sz w:val="20"/>
                <w:szCs w:val="20"/>
              </w:rPr>
              <w:t xml:space="preserve"> </w:t>
            </w:r>
            <w:r w:rsidR="00E456AB" w:rsidRPr="00CB5008">
              <w:rPr>
                <w:rFonts w:cstheme="minorHAnsi"/>
                <w:sz w:val="20"/>
                <w:szCs w:val="20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:rsidRPr="00CB5008" w14:paraId="3D8A7719" w14:textId="77777777" w:rsidTr="003F2B6F">
        <w:trPr>
          <w:trHeight w:val="330"/>
        </w:trPr>
        <w:tc>
          <w:tcPr>
            <w:tcW w:w="3135" w:type="dxa"/>
            <w:gridSpan w:val="4"/>
            <w:shd w:val="clear" w:color="auto" w:fill="D9D9D9" w:themeFill="background1" w:themeFillShade="D9"/>
          </w:tcPr>
          <w:p w14:paraId="28B0C466" w14:textId="77777777" w:rsidR="00AE400D" w:rsidRPr="00CB5008" w:rsidRDefault="00AE400D" w:rsidP="00E456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 xml:space="preserve">Imię i nazwisko </w:t>
            </w:r>
          </w:p>
        </w:tc>
        <w:tc>
          <w:tcPr>
            <w:tcW w:w="3096" w:type="dxa"/>
            <w:gridSpan w:val="4"/>
            <w:shd w:val="clear" w:color="auto" w:fill="D9D9D9" w:themeFill="background1" w:themeFillShade="D9"/>
          </w:tcPr>
          <w:p w14:paraId="206B55EC" w14:textId="77777777" w:rsidR="00AE400D" w:rsidRPr="00CB5008" w:rsidRDefault="00AE400D" w:rsidP="00E456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Pr="00CB5008" w:rsidRDefault="00AE400D" w:rsidP="00E456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>Sposób reprezentacji</w:t>
            </w:r>
          </w:p>
        </w:tc>
      </w:tr>
      <w:tr w:rsidR="00AE400D" w:rsidRPr="00CB5008" w14:paraId="6DD3D299" w14:textId="77777777" w:rsidTr="003F2B6F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</w:tcPr>
          <w:p w14:paraId="70E8F8AD" w14:textId="77777777" w:rsidR="00AE400D" w:rsidRDefault="00CB5008" w:rsidP="00E456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5008">
              <w:rPr>
                <w:rFonts w:cstheme="minorHAnsi"/>
                <w:b/>
                <w:bCs/>
                <w:sz w:val="20"/>
                <w:szCs w:val="20"/>
              </w:rPr>
              <w:t>ANDRZEJ DARIUSZ STEFANOWSKI</w:t>
            </w:r>
            <w:r w:rsidR="003F2B6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407C371" w14:textId="4D132870" w:rsidR="003F2B6F" w:rsidRPr="00CB5008" w:rsidRDefault="003F2B6F" w:rsidP="00E456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PESEL: </w:t>
            </w:r>
            <w:r w:rsidRPr="003F2B6F">
              <w:rPr>
                <w:rFonts w:cstheme="minorHAnsi"/>
                <w:b/>
                <w:bCs/>
                <w:sz w:val="20"/>
                <w:szCs w:val="20"/>
              </w:rPr>
              <w:t>66011507817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</w:tcPr>
          <w:p w14:paraId="38E172DC" w14:textId="42A3BBD2" w:rsidR="00AE400D" w:rsidRPr="00CB5008" w:rsidRDefault="00CB5008" w:rsidP="00E456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B5008">
              <w:rPr>
                <w:rFonts w:cstheme="minorHAnsi"/>
                <w:b/>
                <w:bCs/>
                <w:sz w:val="20"/>
                <w:szCs w:val="20"/>
              </w:rPr>
              <w:t xml:space="preserve">PREZES ZARZĄDU </w:t>
            </w:r>
          </w:p>
        </w:tc>
        <w:tc>
          <w:tcPr>
            <w:tcW w:w="3096" w:type="dxa"/>
            <w:gridSpan w:val="2"/>
            <w:tcBorders>
              <w:bottom w:val="nil"/>
            </w:tcBorders>
          </w:tcPr>
          <w:p w14:paraId="592BA6D4" w14:textId="77777777" w:rsidR="003F2B6F" w:rsidRPr="003F2B6F" w:rsidRDefault="003F2B6F" w:rsidP="003F2B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F2B6F">
              <w:rPr>
                <w:rFonts w:cstheme="minorHAnsi"/>
                <w:b/>
                <w:bCs/>
                <w:sz w:val="20"/>
                <w:szCs w:val="20"/>
              </w:rPr>
              <w:t>DO SKŁADANIA OŚWIADCZEŃ W ZAKRESIE PRAW I OBOWIĄZKÓW MAJĄTKOWYCH I</w:t>
            </w:r>
          </w:p>
          <w:p w14:paraId="3C002D3A" w14:textId="759355BF" w:rsidR="00AE400D" w:rsidRPr="00CB5008" w:rsidRDefault="003F2B6F" w:rsidP="003F2B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F2B6F">
              <w:rPr>
                <w:rFonts w:cstheme="minorHAnsi"/>
                <w:b/>
                <w:bCs/>
                <w:sz w:val="20"/>
                <w:szCs w:val="20"/>
              </w:rPr>
              <w:t xml:space="preserve">NIEMAJĄTKOWYCH SPÓŁKI, W </w:t>
            </w:r>
          </w:p>
        </w:tc>
      </w:tr>
      <w:tr w:rsidR="003F2B6F" w:rsidRPr="00CB5008" w14:paraId="7540C69F" w14:textId="77777777" w:rsidTr="003F2B6F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</w:tcPr>
          <w:p w14:paraId="56F4BEEE" w14:textId="77777777" w:rsidR="003F2B6F" w:rsidRDefault="003F2B6F" w:rsidP="00E456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MARCIN</w:t>
            </w:r>
            <w:r w:rsidRPr="003F2B6F">
              <w:rPr>
                <w:rFonts w:cstheme="minorHAnsi"/>
                <w:b/>
                <w:bCs/>
                <w:sz w:val="20"/>
                <w:szCs w:val="20"/>
              </w:rPr>
              <w:t xml:space="preserve"> STEFANOWSKI</w:t>
            </w:r>
          </w:p>
          <w:p w14:paraId="37EE1924" w14:textId="48C3C17E" w:rsidR="003F2B6F" w:rsidRPr="00CB5008" w:rsidRDefault="003F2B6F" w:rsidP="00E456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PESEL: </w:t>
            </w:r>
            <w:r>
              <w:t xml:space="preserve"> </w:t>
            </w:r>
            <w:r w:rsidRPr="003F2B6F">
              <w:rPr>
                <w:rFonts w:cstheme="minorHAnsi"/>
                <w:b/>
                <w:bCs/>
                <w:sz w:val="20"/>
                <w:szCs w:val="20"/>
              </w:rPr>
              <w:t>91091802035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</w:tcPr>
          <w:p w14:paraId="705DAF56" w14:textId="77777777" w:rsidR="003F2B6F" w:rsidRDefault="003F2B6F" w:rsidP="00E456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PROKURENT </w:t>
            </w:r>
          </w:p>
          <w:p w14:paraId="44475E08" w14:textId="7AFC0D68" w:rsidR="003F2B6F" w:rsidRPr="00CB5008" w:rsidRDefault="003F2B6F" w:rsidP="00E456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(PROKURA SAMOISTNA) </w:t>
            </w:r>
          </w:p>
        </w:tc>
        <w:tc>
          <w:tcPr>
            <w:tcW w:w="3096" w:type="dxa"/>
            <w:gridSpan w:val="2"/>
            <w:tcBorders>
              <w:top w:val="nil"/>
              <w:bottom w:val="nil"/>
            </w:tcBorders>
          </w:tcPr>
          <w:p w14:paraId="2317ECCD" w14:textId="77777777" w:rsidR="003F2B6F" w:rsidRPr="003F2B6F" w:rsidRDefault="003F2B6F" w:rsidP="003F2B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F2B6F">
              <w:rPr>
                <w:rFonts w:cstheme="minorHAnsi"/>
                <w:b/>
                <w:bCs/>
                <w:sz w:val="20"/>
                <w:szCs w:val="20"/>
              </w:rPr>
              <w:t>TYM PODPISYWANIA UMÓW I ZACIĄGANIA ZOBOWIĄZAŃ,</w:t>
            </w:r>
          </w:p>
          <w:p w14:paraId="00EF3E97" w14:textId="67E44505" w:rsidR="003F2B6F" w:rsidRPr="00CB5008" w:rsidRDefault="003F2B6F" w:rsidP="003F2B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F2B6F">
              <w:rPr>
                <w:rFonts w:cstheme="minorHAnsi"/>
                <w:b/>
                <w:bCs/>
                <w:sz w:val="20"/>
                <w:szCs w:val="20"/>
              </w:rPr>
              <w:t>UPRAWNIONY JEST KAŻDY Z</w:t>
            </w:r>
          </w:p>
        </w:tc>
      </w:tr>
      <w:tr w:rsidR="003F2B6F" w:rsidRPr="00CB5008" w14:paraId="1E729360" w14:textId="77777777" w:rsidTr="003F2B6F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</w:tcPr>
          <w:p w14:paraId="55AE99F4" w14:textId="77777777" w:rsidR="003F2B6F" w:rsidRDefault="003F2B6F" w:rsidP="00E456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DOROTA</w:t>
            </w:r>
            <w:r w:rsidRPr="003F2B6F">
              <w:rPr>
                <w:rFonts w:cstheme="minorHAnsi"/>
                <w:b/>
                <w:bCs/>
                <w:sz w:val="20"/>
                <w:szCs w:val="20"/>
              </w:rPr>
              <w:t xml:space="preserve"> STEFANOWSK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  <w:p w14:paraId="51E45D9E" w14:textId="16F3CDE5" w:rsidR="003F2B6F" w:rsidRPr="00CB5008" w:rsidRDefault="003F2B6F" w:rsidP="00E456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PESEL:</w:t>
            </w:r>
            <w:r>
              <w:t xml:space="preserve"> </w:t>
            </w:r>
            <w:r w:rsidRPr="003F2B6F">
              <w:rPr>
                <w:rFonts w:cstheme="minorHAnsi"/>
                <w:b/>
                <w:bCs/>
                <w:sz w:val="20"/>
                <w:szCs w:val="20"/>
              </w:rPr>
              <w:t>66030105643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</w:tcPr>
          <w:p w14:paraId="640ECCFB" w14:textId="77777777" w:rsidR="003F2B6F" w:rsidRDefault="003F2B6F" w:rsidP="00E456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PROKURENT </w:t>
            </w:r>
          </w:p>
          <w:p w14:paraId="40E86511" w14:textId="0B4BCA0F" w:rsidR="003F2B6F" w:rsidRPr="00CB5008" w:rsidRDefault="003F2B6F" w:rsidP="00E456A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(PROKURA SAMOISTNA)</w:t>
            </w:r>
          </w:p>
        </w:tc>
        <w:tc>
          <w:tcPr>
            <w:tcW w:w="3096" w:type="dxa"/>
            <w:gridSpan w:val="2"/>
            <w:tcBorders>
              <w:top w:val="nil"/>
              <w:bottom w:val="single" w:sz="4" w:space="0" w:color="auto"/>
            </w:tcBorders>
          </w:tcPr>
          <w:p w14:paraId="00C7AF46" w14:textId="77777777" w:rsidR="003F2B6F" w:rsidRPr="003F2B6F" w:rsidRDefault="003F2B6F" w:rsidP="003F2B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F2B6F">
              <w:rPr>
                <w:rFonts w:cstheme="minorHAnsi"/>
                <w:b/>
                <w:bCs/>
                <w:sz w:val="20"/>
                <w:szCs w:val="20"/>
              </w:rPr>
              <w:t>CZŁONKÓW ZARZĄDU JEDNOOSOBOWO LUB PROKURENT ZGODNIE Z</w:t>
            </w:r>
          </w:p>
          <w:p w14:paraId="2E7A21E1" w14:textId="079BAE2E" w:rsidR="003F2B6F" w:rsidRPr="00CB5008" w:rsidRDefault="003F2B6F" w:rsidP="003F2B6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F2B6F">
              <w:rPr>
                <w:rFonts w:cstheme="minorHAnsi"/>
                <w:b/>
                <w:bCs/>
                <w:sz w:val="20"/>
                <w:szCs w:val="20"/>
              </w:rPr>
              <w:t>RODZAJEM PROKURY.</w:t>
            </w:r>
          </w:p>
        </w:tc>
      </w:tr>
      <w:tr w:rsidR="00E456AB" w:rsidRPr="00CB5008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Pr="00CB5008" w:rsidRDefault="002A1DA1" w:rsidP="00825981">
            <w:pPr>
              <w:jc w:val="both"/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>A.5</w:t>
            </w:r>
            <w:r w:rsidR="003D7F27" w:rsidRPr="00CB5008">
              <w:rPr>
                <w:rFonts w:cstheme="minorHAnsi"/>
                <w:sz w:val="20"/>
                <w:szCs w:val="20"/>
              </w:rPr>
              <w:t>.</w:t>
            </w:r>
            <w:r w:rsidR="00250561" w:rsidRPr="00CB5008">
              <w:rPr>
                <w:rFonts w:cstheme="minorHAnsi"/>
                <w:sz w:val="20"/>
                <w:szCs w:val="20"/>
              </w:rPr>
              <w:t xml:space="preserve"> </w:t>
            </w:r>
            <w:r w:rsidR="00E456AB" w:rsidRPr="00CB5008">
              <w:rPr>
                <w:rFonts w:cstheme="minorHAnsi"/>
                <w:sz w:val="20"/>
                <w:szCs w:val="20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:rsidRPr="00CB5008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CB5008" w:rsidRDefault="00E456AB" w:rsidP="00E456AB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E456AB" w:rsidRPr="00CB5008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Pr="00CB5008" w:rsidRDefault="003D7F27" w:rsidP="00E456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 xml:space="preserve">B. </w:t>
            </w:r>
            <w:r w:rsidR="00E456AB" w:rsidRPr="00CB5008">
              <w:rPr>
                <w:rFonts w:cstheme="minorHAnsi"/>
                <w:sz w:val="20"/>
                <w:szCs w:val="20"/>
              </w:rPr>
              <w:t>WIERZYCIEL</w:t>
            </w:r>
          </w:p>
        </w:tc>
      </w:tr>
      <w:tr w:rsidR="00E456AB" w:rsidRPr="00CB5008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Pr="00CB5008" w:rsidRDefault="003D7F27" w:rsidP="00E40CB8">
            <w:pPr>
              <w:jc w:val="both"/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>B.1.</w:t>
            </w:r>
            <w:r w:rsidR="00250561" w:rsidRPr="00CB5008">
              <w:rPr>
                <w:rFonts w:cstheme="minorHAnsi"/>
                <w:sz w:val="20"/>
                <w:szCs w:val="20"/>
              </w:rPr>
              <w:t xml:space="preserve"> </w:t>
            </w:r>
            <w:r w:rsidR="00E456AB" w:rsidRPr="00CB5008">
              <w:rPr>
                <w:rFonts w:cstheme="minorHAnsi"/>
                <w:sz w:val="20"/>
                <w:szCs w:val="20"/>
              </w:rPr>
              <w:t>Imię i nazwisko głosu</w:t>
            </w:r>
            <w:r w:rsidR="00825981" w:rsidRPr="00CB5008">
              <w:rPr>
                <w:rFonts w:cstheme="minorHAnsi"/>
                <w:sz w:val="20"/>
                <w:szCs w:val="20"/>
              </w:rPr>
              <w:t>jącego wierzyciela, numer PESEL</w:t>
            </w:r>
            <w:r w:rsidR="00E456AB" w:rsidRPr="00CB5008">
              <w:rPr>
                <w:rFonts w:cstheme="minorHAnsi"/>
                <w:sz w:val="20"/>
                <w:szCs w:val="20"/>
              </w:rPr>
              <w:t xml:space="preserve">, a w przypadku </w:t>
            </w:r>
            <w:r w:rsidR="00DF72BB" w:rsidRPr="00CB5008">
              <w:rPr>
                <w:rFonts w:cstheme="minorHAnsi"/>
                <w:sz w:val="20"/>
                <w:szCs w:val="20"/>
              </w:rPr>
              <w:t>jego</w:t>
            </w:r>
            <w:r w:rsidR="00E456AB" w:rsidRPr="00CB5008">
              <w:rPr>
                <w:rFonts w:cstheme="minorHAnsi"/>
                <w:sz w:val="20"/>
                <w:szCs w:val="20"/>
              </w:rPr>
              <w:t xml:space="preserve"> braku inne dane umożliwiające jego jednoznaczną identyfikację albo</w:t>
            </w:r>
            <w:r w:rsidR="00825981" w:rsidRPr="00CB5008">
              <w:rPr>
                <w:rFonts w:cstheme="minorHAnsi"/>
                <w:sz w:val="20"/>
                <w:szCs w:val="20"/>
              </w:rPr>
              <w:t xml:space="preserve"> n</w:t>
            </w:r>
            <w:r w:rsidR="00E456AB" w:rsidRPr="00CB5008">
              <w:rPr>
                <w:rFonts w:cstheme="minorHAnsi"/>
                <w:sz w:val="20"/>
                <w:szCs w:val="20"/>
              </w:rPr>
              <w:t xml:space="preserve">azwę </w:t>
            </w:r>
            <w:r w:rsidR="00DF72BB" w:rsidRPr="00CB5008">
              <w:rPr>
                <w:rFonts w:cstheme="minorHAnsi"/>
                <w:sz w:val="20"/>
                <w:szCs w:val="20"/>
              </w:rPr>
              <w:t xml:space="preserve">głosującego </w:t>
            </w:r>
            <w:r w:rsidR="00E456AB" w:rsidRPr="00CB5008">
              <w:rPr>
                <w:rFonts w:cstheme="minorHAnsi"/>
                <w:sz w:val="20"/>
                <w:szCs w:val="20"/>
              </w:rPr>
              <w:t xml:space="preserve">wierzyciela, numer w </w:t>
            </w:r>
            <w:r w:rsidR="00250561" w:rsidRPr="00CB5008">
              <w:rPr>
                <w:rFonts w:cstheme="minorHAnsi"/>
                <w:sz w:val="20"/>
                <w:szCs w:val="20"/>
              </w:rPr>
              <w:t>Krajowym Rejestrze Sądowym</w:t>
            </w:r>
            <w:r w:rsidR="00E456AB" w:rsidRPr="00CB5008">
              <w:rPr>
                <w:rFonts w:cstheme="minorHAnsi"/>
                <w:sz w:val="20"/>
                <w:szCs w:val="20"/>
              </w:rPr>
              <w:t>, a w przypadku jego braku – inne dane umożliwiające jego identyfikację</w:t>
            </w:r>
          </w:p>
        </w:tc>
      </w:tr>
      <w:tr w:rsidR="00E456AB" w:rsidRPr="00CB5008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3829D104" w14:textId="3023F2D5" w:rsidR="00CB5008" w:rsidRPr="00CB5008" w:rsidRDefault="00CB5008" w:rsidP="00F67E2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2747E" w:rsidRPr="00CB5008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Pr="00CB5008" w:rsidRDefault="00454C08" w:rsidP="007555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 xml:space="preserve">B. </w:t>
            </w:r>
            <w:r w:rsidR="002A1DA1" w:rsidRPr="00CB5008">
              <w:rPr>
                <w:rFonts w:cstheme="minorHAnsi"/>
                <w:sz w:val="20"/>
                <w:szCs w:val="20"/>
              </w:rPr>
              <w:t>2</w:t>
            </w:r>
            <w:r w:rsidRPr="00CB5008">
              <w:rPr>
                <w:rFonts w:cstheme="minorHAnsi"/>
                <w:sz w:val="20"/>
                <w:szCs w:val="20"/>
              </w:rPr>
              <w:t xml:space="preserve">. </w:t>
            </w:r>
            <w:r w:rsidR="0062747E" w:rsidRPr="00CB5008">
              <w:rPr>
                <w:rFonts w:cstheme="minorHAnsi"/>
                <w:sz w:val="20"/>
                <w:szCs w:val="20"/>
              </w:rPr>
              <w:t>Treść głos</w:t>
            </w:r>
            <w:r w:rsidR="00925DCD" w:rsidRPr="00CB5008">
              <w:rPr>
                <w:rFonts w:cstheme="minorHAnsi"/>
                <w:sz w:val="20"/>
                <w:szCs w:val="20"/>
              </w:rPr>
              <w:t>u</w:t>
            </w:r>
            <w:r w:rsidRPr="00CB5008">
              <w:rPr>
                <w:rFonts w:cstheme="minorHAnsi"/>
                <w:sz w:val="20"/>
                <w:szCs w:val="20"/>
              </w:rPr>
              <w:t xml:space="preserve"> (zakreślić właściwy kwadrat)</w:t>
            </w:r>
          </w:p>
        </w:tc>
      </w:tr>
      <w:tr w:rsidR="0062747E" w:rsidRPr="00CB5008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CB5008" w:rsidRDefault="00454C08" w:rsidP="00454C08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CB5008" w:rsidRDefault="00454C08" w:rsidP="00454C08">
            <w:pPr>
              <w:pStyle w:val="Akapitzlist"/>
              <w:numPr>
                <w:ilvl w:val="0"/>
                <w:numId w:val="6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>PRZECIW UKŁADOWI</w:t>
            </w:r>
          </w:p>
        </w:tc>
      </w:tr>
      <w:tr w:rsidR="00E456AB" w:rsidRPr="00CB5008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Pr="00CB5008" w:rsidRDefault="00454C08" w:rsidP="007555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>B.</w:t>
            </w:r>
            <w:r w:rsidR="002A1DA1" w:rsidRPr="00CB5008">
              <w:rPr>
                <w:rFonts w:cstheme="minorHAnsi"/>
                <w:sz w:val="20"/>
                <w:szCs w:val="20"/>
              </w:rPr>
              <w:t>3</w:t>
            </w:r>
            <w:r w:rsidR="003D7F27" w:rsidRPr="00CB5008">
              <w:rPr>
                <w:rFonts w:cstheme="minorHAnsi"/>
                <w:sz w:val="20"/>
                <w:szCs w:val="20"/>
              </w:rPr>
              <w:t>.</w:t>
            </w:r>
            <w:r w:rsidR="002A1DA1" w:rsidRPr="00CB5008">
              <w:rPr>
                <w:rFonts w:cstheme="minorHAnsi"/>
                <w:sz w:val="20"/>
                <w:szCs w:val="20"/>
              </w:rPr>
              <w:t xml:space="preserve"> </w:t>
            </w:r>
            <w:r w:rsidR="00E456AB" w:rsidRPr="00CB5008">
              <w:rPr>
                <w:rFonts w:cstheme="minorHAnsi"/>
                <w:sz w:val="20"/>
                <w:szCs w:val="20"/>
              </w:rPr>
              <w:t>Kwota wierzytelności głosującego wierzyciela</w:t>
            </w:r>
          </w:p>
        </w:tc>
      </w:tr>
      <w:tr w:rsidR="008A4E8C" w:rsidRPr="00CB5008" w14:paraId="298C3331" w14:textId="77777777" w:rsidTr="00AE156D">
        <w:trPr>
          <w:trHeight w:val="406"/>
        </w:trPr>
        <w:tc>
          <w:tcPr>
            <w:tcW w:w="9327" w:type="dxa"/>
            <w:gridSpan w:val="10"/>
          </w:tcPr>
          <w:p w14:paraId="0D2A4455" w14:textId="6E27AF5E" w:rsidR="008A4E8C" w:rsidRPr="00CB5008" w:rsidRDefault="008A4E8C" w:rsidP="003B297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E29DC" w:rsidRPr="00CB5008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Pr="00CB5008" w:rsidRDefault="002A1DA1" w:rsidP="003E29DC">
            <w:pPr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>B.4</w:t>
            </w:r>
            <w:r w:rsidR="003E29DC" w:rsidRPr="00CB5008">
              <w:rPr>
                <w:rFonts w:cstheme="minorHAnsi"/>
                <w:sz w:val="20"/>
                <w:szCs w:val="20"/>
              </w:rPr>
              <w:t>.</w:t>
            </w:r>
            <w:r w:rsidR="00427319" w:rsidRPr="00CB5008">
              <w:rPr>
                <w:rFonts w:cstheme="minorHAnsi"/>
                <w:sz w:val="20"/>
                <w:szCs w:val="20"/>
              </w:rPr>
              <w:t xml:space="preserve"> </w:t>
            </w:r>
            <w:r w:rsidR="003E29DC" w:rsidRPr="00CB5008">
              <w:rPr>
                <w:rFonts w:cstheme="minorHAnsi"/>
                <w:sz w:val="20"/>
                <w:szCs w:val="20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B961D41" w:rsidR="003E29DC" w:rsidRPr="00CB5008" w:rsidRDefault="003E29DC" w:rsidP="00F67E2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5008" w:rsidRPr="00CB5008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CB5008" w:rsidRPr="00CB5008" w:rsidRDefault="00CB5008" w:rsidP="00CB5008">
            <w:pPr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>B.5. Adres wierzyciela (nazwa ulicy, nr domu, numer lokalu, kod pocztowy, poczta)</w:t>
            </w:r>
          </w:p>
        </w:tc>
        <w:tc>
          <w:tcPr>
            <w:tcW w:w="5817" w:type="dxa"/>
            <w:gridSpan w:val="5"/>
          </w:tcPr>
          <w:p w14:paraId="1230A907" w14:textId="08ED270D" w:rsidR="00CB5008" w:rsidRPr="00CB5008" w:rsidRDefault="00CB5008" w:rsidP="00AE15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B5008" w:rsidRPr="00CB5008" w14:paraId="41396BFB" w14:textId="77777777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CB5008" w:rsidRPr="00CB5008" w:rsidRDefault="00CB5008" w:rsidP="00CB5008">
            <w:pPr>
              <w:jc w:val="both"/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lastRenderedPageBreak/>
              <w:t>B.6. W przypadku, gdy wierzyciel jest spółką osobową, osobą prawną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CB5008" w:rsidRPr="00CB5008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CB5008" w:rsidRPr="00CB5008" w:rsidRDefault="00CB5008" w:rsidP="00CB500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CB5008" w:rsidRPr="00CB5008" w:rsidRDefault="00CB5008" w:rsidP="00CB500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CB5008" w:rsidRPr="00CB5008" w:rsidRDefault="00CB5008" w:rsidP="00CB50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>Sposób reprezentacji</w:t>
            </w:r>
          </w:p>
        </w:tc>
      </w:tr>
      <w:tr w:rsidR="00CB5008" w:rsidRPr="00CB5008" w14:paraId="25ABFF3C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77777777" w:rsidR="00CB5008" w:rsidRPr="00CB5008" w:rsidRDefault="00CB5008" w:rsidP="00CB500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D0AABDD" w14:textId="77777777" w:rsidR="00CB5008" w:rsidRPr="00CB5008" w:rsidRDefault="00CB5008" w:rsidP="00CB500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  <w:p w14:paraId="1D703925" w14:textId="77777777" w:rsidR="00CB5008" w:rsidRPr="00CB5008" w:rsidRDefault="00CB5008" w:rsidP="00CB500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54CFDA8" w14:textId="77777777" w:rsidR="00CB5008" w:rsidRPr="00CB5008" w:rsidRDefault="00CB5008" w:rsidP="00CB500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5008" w:rsidRPr="00CB5008" w14:paraId="24293E26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26B552C" w14:textId="77777777" w:rsidR="00CB5008" w:rsidRPr="00CB5008" w:rsidRDefault="00CB5008" w:rsidP="00CB500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AAF518C" w14:textId="77777777" w:rsidR="00CB5008" w:rsidRPr="00CB5008" w:rsidRDefault="00CB5008" w:rsidP="00CB500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  <w:p w14:paraId="32D85C86" w14:textId="77777777" w:rsidR="00CB5008" w:rsidRPr="00CB5008" w:rsidRDefault="00CB5008" w:rsidP="00CB500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162537A" w14:textId="77777777" w:rsidR="00CB5008" w:rsidRPr="00CB5008" w:rsidRDefault="00CB5008" w:rsidP="00CB500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5008" w:rsidRPr="00CB5008" w14:paraId="397460B7" w14:textId="77777777" w:rsidTr="00AF5DB4">
        <w:trPr>
          <w:trHeight w:val="105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5D41EE93" w14:textId="77777777" w:rsidR="00CB5008" w:rsidRPr="00CB5008" w:rsidRDefault="00CB5008" w:rsidP="00CB500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456A7523" w14:textId="77777777" w:rsidR="00CB5008" w:rsidRPr="00CB5008" w:rsidRDefault="00CB5008" w:rsidP="00CB500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  <w:p w14:paraId="201CA399" w14:textId="77777777" w:rsidR="00CB5008" w:rsidRPr="00CB5008" w:rsidRDefault="00CB5008" w:rsidP="00CB500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tcBorders>
              <w:tr2bl w:val="nil"/>
            </w:tcBorders>
            <w:shd w:val="clear" w:color="auto" w:fill="FFFFFF" w:themeFill="background1"/>
          </w:tcPr>
          <w:p w14:paraId="05BCDCEF" w14:textId="77777777" w:rsidR="00CB5008" w:rsidRPr="00CB5008" w:rsidRDefault="00CB5008" w:rsidP="00CB5008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5008" w:rsidRPr="00CB5008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CB5008" w:rsidRPr="00CB5008" w:rsidRDefault="00CB5008" w:rsidP="00CB5008">
            <w:pPr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>B.7. Grupa obejmująca kategorię interesu, jeżeli zostały przewidziane, do której został zaliczony głosujący wierzyciel</w:t>
            </w:r>
          </w:p>
        </w:tc>
      </w:tr>
      <w:tr w:rsidR="00CB5008" w:rsidRPr="00CB5008" w14:paraId="1EE01BC1" w14:textId="77777777" w:rsidTr="009D3B00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CB5008" w:rsidRPr="00CB5008" w:rsidRDefault="00CB5008" w:rsidP="00CB5008">
            <w:pPr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>B.7.1. Numer Grupy</w:t>
            </w:r>
          </w:p>
        </w:tc>
        <w:tc>
          <w:tcPr>
            <w:tcW w:w="8085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03FBCF" w14:textId="77777777" w:rsidR="00CB5008" w:rsidRPr="00CB5008" w:rsidRDefault="00CB5008" w:rsidP="00CB5008">
            <w:pPr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>B.7.2. Opis Grupy</w:t>
            </w:r>
          </w:p>
        </w:tc>
      </w:tr>
      <w:tr w:rsidR="00CB5008" w:rsidRPr="00CB5008" w14:paraId="53010003" w14:textId="77777777" w:rsidTr="009D3B00">
        <w:trPr>
          <w:trHeight w:val="244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56FA4" w14:textId="77777777" w:rsidR="00CB5008" w:rsidRPr="00CB5008" w:rsidRDefault="00CB5008" w:rsidP="00CB50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85" w:type="dxa"/>
            <w:gridSpan w:val="9"/>
            <w:vMerge w:val="restart"/>
            <w:tcBorders>
              <w:tr2bl w:val="nil"/>
            </w:tcBorders>
            <w:shd w:val="clear" w:color="auto" w:fill="auto"/>
          </w:tcPr>
          <w:p w14:paraId="7DE8A6B7" w14:textId="77777777" w:rsidR="00CB5008" w:rsidRPr="00CB5008" w:rsidRDefault="00CB5008" w:rsidP="00CB5008">
            <w:pPr>
              <w:rPr>
                <w:rFonts w:cstheme="minorHAnsi"/>
                <w:sz w:val="20"/>
                <w:szCs w:val="20"/>
              </w:rPr>
            </w:pPr>
          </w:p>
          <w:p w14:paraId="6E1FBF76" w14:textId="77777777" w:rsidR="00CB5008" w:rsidRPr="00CB5008" w:rsidRDefault="00CB5008" w:rsidP="00AE156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B5008" w:rsidRPr="00CB5008" w14:paraId="49DBF8DE" w14:textId="77777777" w:rsidTr="009D3B00">
        <w:trPr>
          <w:trHeight w:val="513"/>
        </w:trPr>
        <w:tc>
          <w:tcPr>
            <w:tcW w:w="1242" w:type="dxa"/>
            <w:tcBorders>
              <w:tr2bl w:val="nil"/>
            </w:tcBorders>
          </w:tcPr>
          <w:p w14:paraId="686A4D87" w14:textId="0CFFC86F" w:rsidR="00CB5008" w:rsidRPr="00CB5008" w:rsidRDefault="00CB5008" w:rsidP="00CB50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85" w:type="dxa"/>
            <w:gridSpan w:val="9"/>
            <w:vMerge/>
            <w:tcBorders>
              <w:tr2bl w:val="nil"/>
            </w:tcBorders>
            <w:shd w:val="clear" w:color="auto" w:fill="auto"/>
          </w:tcPr>
          <w:p w14:paraId="512D1719" w14:textId="77777777" w:rsidR="00CB5008" w:rsidRPr="00CB5008" w:rsidRDefault="00CB5008" w:rsidP="00CB5008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CB5008" w:rsidRPr="00CB5008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CB5008" w:rsidRPr="00CB5008" w:rsidRDefault="00CB5008" w:rsidP="00CB5008">
            <w:pPr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 xml:space="preserve">B.8. Kwota wierzytelności, co do której wymagana jest zgoda wierzyciela na objęcie układem na podstawie art. 151 ust. 2 i 3 ustawy – Prawo restrukturyzacyjne (Dz. U. z 2015 r. poz. 978, z </w:t>
            </w:r>
            <w:proofErr w:type="spellStart"/>
            <w:r w:rsidRPr="00CB5008">
              <w:rPr>
                <w:rFonts w:cstheme="minorHAnsi"/>
                <w:sz w:val="20"/>
                <w:szCs w:val="20"/>
              </w:rPr>
              <w:t>późn</w:t>
            </w:r>
            <w:proofErr w:type="spellEnd"/>
            <w:r w:rsidRPr="00CB5008">
              <w:rPr>
                <w:rFonts w:cstheme="minorHAnsi"/>
                <w:sz w:val="20"/>
                <w:szCs w:val="20"/>
              </w:rPr>
              <w:t>. zm.)</w:t>
            </w:r>
          </w:p>
        </w:tc>
      </w:tr>
      <w:tr w:rsidR="00CB5008" w:rsidRPr="00CB5008" w14:paraId="25E35651" w14:textId="77777777" w:rsidTr="00BD752D">
        <w:trPr>
          <w:trHeight w:val="105"/>
        </w:trPr>
        <w:tc>
          <w:tcPr>
            <w:tcW w:w="9327" w:type="dxa"/>
            <w:gridSpan w:val="10"/>
            <w:tcBorders>
              <w:tr2bl w:val="single" w:sz="4" w:space="0" w:color="auto"/>
            </w:tcBorders>
            <w:shd w:val="clear" w:color="auto" w:fill="auto"/>
          </w:tcPr>
          <w:p w14:paraId="133A0C98" w14:textId="77777777" w:rsidR="00CB5008" w:rsidRPr="00CB5008" w:rsidRDefault="00CB5008" w:rsidP="00CB5008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3501ECB9" w14:textId="7D0B3A08" w:rsidR="00CB5008" w:rsidRPr="00CB5008" w:rsidRDefault="00CB5008" w:rsidP="00CB5008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CB5008" w:rsidRPr="00CB5008" w14:paraId="0E27464A" w14:textId="77777777" w:rsidTr="00BD752D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CB5008" w:rsidRPr="00CB5008" w:rsidRDefault="00CB5008" w:rsidP="00CB5008">
            <w:pPr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>B.9. Czy wierzyciel wyraża zgodę na objęcie wierzytelności układem (zakreślić właściwy kwadrat)</w:t>
            </w:r>
          </w:p>
        </w:tc>
        <w:tc>
          <w:tcPr>
            <w:tcW w:w="4966" w:type="dxa"/>
            <w:gridSpan w:val="4"/>
            <w:tcBorders>
              <w:tr2bl w:val="single" w:sz="4" w:space="0" w:color="auto"/>
            </w:tcBorders>
            <w:shd w:val="clear" w:color="auto" w:fill="auto"/>
          </w:tcPr>
          <w:p w14:paraId="654B98B0" w14:textId="32BE4DF4" w:rsidR="00CB5008" w:rsidRPr="00CB5008" w:rsidRDefault="00CB5008" w:rsidP="00CB5008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 xml:space="preserve">TAK </w:t>
            </w:r>
          </w:p>
          <w:p w14:paraId="202D8A81" w14:textId="77777777" w:rsidR="00CB5008" w:rsidRPr="00CB5008" w:rsidRDefault="00CB5008" w:rsidP="00CB5008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CB5008" w:rsidRPr="00CB50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CB5008" w:rsidRPr="00CB5008" w:rsidRDefault="00CB5008" w:rsidP="00CB5008">
            <w:pPr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>B.10.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CB5008" w:rsidRPr="00CB5008" w:rsidRDefault="00CB5008" w:rsidP="00CB5008">
            <w:pPr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>B.11. Dzień układowy</w:t>
            </w:r>
          </w:p>
        </w:tc>
      </w:tr>
      <w:tr w:rsidR="00CB5008" w:rsidRPr="00CB50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6037B99" w14:textId="77777777" w:rsidR="00CB5008" w:rsidRDefault="00CB5008" w:rsidP="00CB500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D787A7" w14:textId="4BB91254" w:rsidR="00CB5008" w:rsidRPr="00CB5008" w:rsidRDefault="00CB5008" w:rsidP="00CB5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7777777" w:rsidR="00CB5008" w:rsidRPr="00CB5008" w:rsidRDefault="00CB5008" w:rsidP="00CB5008">
            <w:pPr>
              <w:rPr>
                <w:rFonts w:cstheme="minorHAnsi"/>
                <w:sz w:val="20"/>
                <w:szCs w:val="20"/>
              </w:rPr>
            </w:pPr>
          </w:p>
          <w:p w14:paraId="087BD45C" w14:textId="089AD215" w:rsidR="00CB5008" w:rsidRPr="00CB5008" w:rsidRDefault="00CB5008" w:rsidP="00CB500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24 marca 2023</w:t>
            </w:r>
            <w:r w:rsidRPr="00CB5008">
              <w:rPr>
                <w:rFonts w:cstheme="minorHAnsi"/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CB5008" w:rsidRPr="00CB5008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CB5008" w:rsidRPr="00CB5008" w:rsidRDefault="00CB5008" w:rsidP="00CB5008">
            <w:pPr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>C. Pełna treść propozycji układowych z jednoznacznym wskazaniem, które z propozycji dotyczą głosującego wierzyciela</w:t>
            </w:r>
          </w:p>
        </w:tc>
      </w:tr>
      <w:tr w:rsidR="00CB5008" w:rsidRPr="00CB5008" w14:paraId="69F5B244" w14:textId="77777777" w:rsidTr="00454C08">
        <w:trPr>
          <w:trHeight w:val="2391"/>
        </w:trPr>
        <w:tc>
          <w:tcPr>
            <w:tcW w:w="9327" w:type="dxa"/>
            <w:gridSpan w:val="10"/>
          </w:tcPr>
          <w:p w14:paraId="32DF3019" w14:textId="6025A5A7" w:rsidR="00CB5008" w:rsidRPr="00CB5008" w:rsidRDefault="00CB5008" w:rsidP="00CB500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686C1C1" w14:textId="77777777" w:rsidR="0036440C" w:rsidRPr="0036440C" w:rsidRDefault="0036440C" w:rsidP="0036440C">
            <w:pPr>
              <w:numPr>
                <w:ilvl w:val="0"/>
                <w:numId w:val="48"/>
              </w:numPr>
              <w:autoSpaceDE w:val="0"/>
              <w:autoSpaceDN w:val="0"/>
              <w:jc w:val="both"/>
              <w:textAlignment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440C">
              <w:rPr>
                <w:rFonts w:eastAsia="Times New Roman" w:cs="Calibri"/>
                <w:sz w:val="20"/>
                <w:szCs w:val="20"/>
                <w:lang w:eastAsia="pl-PL"/>
              </w:rPr>
              <w:t>Zgodnie z art. 161 ust. 1 ustawy z dnia 15 maja 2015 r.- Prawo restrukturyzacyjne (dalej „</w:t>
            </w:r>
            <w:proofErr w:type="spellStart"/>
            <w:r w:rsidRPr="0036440C">
              <w:rPr>
                <w:rFonts w:eastAsia="Times New Roman" w:cs="Calibri"/>
                <w:sz w:val="20"/>
                <w:szCs w:val="20"/>
                <w:lang w:eastAsia="pl-PL"/>
              </w:rPr>
              <w:t>p.r.</w:t>
            </w:r>
            <w:proofErr w:type="spellEnd"/>
            <w:r w:rsidRPr="0036440C">
              <w:rPr>
                <w:rFonts w:eastAsia="Times New Roman" w:cs="Calibri"/>
                <w:sz w:val="20"/>
                <w:szCs w:val="20"/>
                <w:lang w:eastAsia="pl-PL"/>
              </w:rPr>
              <w:t>”), propozycje układowe mogą przewidywać podział wierzycieli na grupy obejmujące odmienne kategorie interesów.</w:t>
            </w:r>
          </w:p>
          <w:p w14:paraId="7AC3AFFF" w14:textId="77777777" w:rsidR="0036440C" w:rsidRPr="0036440C" w:rsidRDefault="0036440C" w:rsidP="0036440C">
            <w:pPr>
              <w:numPr>
                <w:ilvl w:val="0"/>
                <w:numId w:val="48"/>
              </w:numPr>
              <w:autoSpaceDE w:val="0"/>
              <w:autoSpaceDN w:val="0"/>
              <w:spacing w:line="276" w:lineRule="auto"/>
              <w:jc w:val="both"/>
              <w:textAlignment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6440C">
              <w:rPr>
                <w:rFonts w:eastAsia="Times New Roman" w:cs="Calibri"/>
                <w:sz w:val="20"/>
                <w:szCs w:val="20"/>
                <w:lang w:eastAsia="pl-PL"/>
              </w:rPr>
              <w:t>Zważywszy na podobny interes wszystkich wierzycieli w przeprowadzeniu postępowania restrukturyzacyjnego i zawarciu układu, aby uzyskać zaspokojenie większe, niż w przypadku ogłoszenia upadłości Spółki, proponowane jest dokonanie podziału wierzycieli na grupy przy uwzględnieniu następujących czynników:</w:t>
            </w:r>
          </w:p>
          <w:p w14:paraId="4043D441" w14:textId="77777777" w:rsidR="0036440C" w:rsidRPr="0036440C" w:rsidRDefault="0036440C" w:rsidP="0036440C">
            <w:pPr>
              <w:numPr>
                <w:ilvl w:val="0"/>
                <w:numId w:val="49"/>
              </w:numPr>
              <w:autoSpaceDN w:val="0"/>
              <w:spacing w:line="276" w:lineRule="auto"/>
              <w:jc w:val="both"/>
              <w:rPr>
                <w:rFonts w:eastAsia="SimSun" w:cs="Calibri"/>
                <w:sz w:val="20"/>
                <w:szCs w:val="20"/>
              </w:rPr>
            </w:pPr>
            <w:r w:rsidRPr="0036440C">
              <w:rPr>
                <w:rFonts w:eastAsia="SimSun" w:cs="Calibri"/>
                <w:sz w:val="20"/>
                <w:szCs w:val="20"/>
              </w:rPr>
              <w:t>wysokość przysługującej wierzycielowi wierzytelności głównej,</w:t>
            </w:r>
          </w:p>
          <w:p w14:paraId="05329CF4" w14:textId="77777777" w:rsidR="0036440C" w:rsidRPr="0036440C" w:rsidRDefault="0036440C" w:rsidP="0036440C">
            <w:pPr>
              <w:numPr>
                <w:ilvl w:val="0"/>
                <w:numId w:val="49"/>
              </w:numPr>
              <w:autoSpaceDN w:val="0"/>
              <w:spacing w:line="276" w:lineRule="auto"/>
              <w:jc w:val="both"/>
              <w:rPr>
                <w:rFonts w:eastAsia="Calibri" w:cs="Calibri"/>
                <w:sz w:val="20"/>
                <w:szCs w:val="20"/>
              </w:rPr>
            </w:pPr>
            <w:r w:rsidRPr="0036440C">
              <w:rPr>
                <w:rFonts w:cs="Calibri"/>
                <w:sz w:val="20"/>
                <w:szCs w:val="20"/>
              </w:rPr>
              <w:t xml:space="preserve">charakter przysługującej wierzytelności, </w:t>
            </w:r>
          </w:p>
          <w:p w14:paraId="01BC003B" w14:textId="77777777" w:rsidR="0036440C" w:rsidRPr="0036440C" w:rsidRDefault="0036440C" w:rsidP="0036440C">
            <w:pPr>
              <w:numPr>
                <w:ilvl w:val="0"/>
                <w:numId w:val="49"/>
              </w:numPr>
              <w:autoSpaceDN w:val="0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36440C">
              <w:rPr>
                <w:rFonts w:eastAsia="SimSun" w:cs="Calibri"/>
                <w:sz w:val="20"/>
                <w:szCs w:val="20"/>
              </w:rPr>
              <w:t>kryteria podmiotowe wskazujących na charakter wierzyciela i status jego działalności gospodarczej,</w:t>
            </w:r>
          </w:p>
          <w:p w14:paraId="246184C4" w14:textId="77777777" w:rsidR="0036440C" w:rsidRPr="0036440C" w:rsidRDefault="0036440C" w:rsidP="0036440C">
            <w:pPr>
              <w:numPr>
                <w:ilvl w:val="0"/>
                <w:numId w:val="49"/>
              </w:numPr>
              <w:autoSpaceDN w:val="0"/>
              <w:spacing w:after="160" w:line="276" w:lineRule="auto"/>
              <w:ind w:hanging="357"/>
              <w:jc w:val="both"/>
              <w:rPr>
                <w:rFonts w:cs="Calibri"/>
                <w:sz w:val="20"/>
                <w:szCs w:val="20"/>
              </w:rPr>
            </w:pPr>
            <w:r w:rsidRPr="0036440C">
              <w:rPr>
                <w:rFonts w:cs="Calibri"/>
                <w:sz w:val="20"/>
                <w:szCs w:val="20"/>
              </w:rPr>
              <w:t>sposób restrukturyzacji zadłużenia i spłaty zobowiązań, również przy uwzględnieniu bezwzględnie obowiązujących przepisów Prawa restrukturyzacyjnego.</w:t>
            </w:r>
          </w:p>
          <w:p w14:paraId="4C2F28EC" w14:textId="77777777" w:rsidR="0036440C" w:rsidRPr="0036440C" w:rsidRDefault="0036440C" w:rsidP="0036440C">
            <w:pPr>
              <w:numPr>
                <w:ilvl w:val="0"/>
                <w:numId w:val="50"/>
              </w:numPr>
              <w:autoSpaceDN w:val="0"/>
              <w:spacing w:after="160" w:line="276" w:lineRule="auto"/>
              <w:ind w:hanging="357"/>
              <w:jc w:val="both"/>
              <w:rPr>
                <w:rFonts w:eastAsia="Times New Roman" w:cs="Calibri"/>
                <w:sz w:val="20"/>
                <w:szCs w:val="20"/>
              </w:rPr>
            </w:pPr>
            <w:r w:rsidRPr="0036440C">
              <w:rPr>
                <w:rFonts w:eastAsia="Times New Roman" w:cs="Calibri"/>
                <w:sz w:val="20"/>
                <w:szCs w:val="20"/>
              </w:rPr>
              <w:t xml:space="preserve">Wierzytelności przysługujące wierzycielom zostały podzielone na cztery grupy wyodrębnione ze względu na poszczególne kategorie interesów. </w:t>
            </w:r>
          </w:p>
          <w:p w14:paraId="4841CEC9" w14:textId="77777777" w:rsidR="0036440C" w:rsidRPr="0036440C" w:rsidRDefault="0036440C" w:rsidP="0036440C">
            <w:pPr>
              <w:numPr>
                <w:ilvl w:val="0"/>
                <w:numId w:val="50"/>
              </w:numPr>
              <w:autoSpaceDN w:val="0"/>
              <w:spacing w:after="160"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36440C">
              <w:rPr>
                <w:rFonts w:eastAsia="Times New Roman" w:cs="Calibri"/>
                <w:sz w:val="20"/>
                <w:szCs w:val="20"/>
              </w:rPr>
              <w:t>W poszczególnych Grupach zaproponowane zostały różne sposoby restrukturyzacji zadłużenia.  Z zastrzeżeniem Grupy I, II oraz III wszystkim pozostałym wierzycielom zaproponowane zostało umorzenie odsetek od wierzytelności należnych zarówno za okres przypadający przed i po dniu układowym, jak również wszelkich należności ubocznych, w tym w szczególności kosztów dochodzenia wierzytelności, opłat oraz kosztów egzekucyjnych należnych za okres przypadający przed jak i po dniu układowym.</w:t>
            </w:r>
          </w:p>
          <w:p w14:paraId="1FA6C1D3" w14:textId="77777777" w:rsidR="0036440C" w:rsidRPr="0036440C" w:rsidRDefault="0036440C" w:rsidP="0036440C">
            <w:pPr>
              <w:numPr>
                <w:ilvl w:val="0"/>
                <w:numId w:val="50"/>
              </w:numPr>
              <w:autoSpaceDN w:val="0"/>
              <w:spacing w:after="16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36440C">
              <w:rPr>
                <w:rFonts w:eastAsia="Times New Roman" w:cs="Calibri"/>
                <w:sz w:val="20"/>
                <w:szCs w:val="20"/>
              </w:rPr>
              <w:t xml:space="preserve">Dłużnik zakłada, że realizacja układu zostanie rozpoczęta w terminie do końca miesiąca kalendarzowego przypadającego bezpośrednio po miesiącu, w którym stwierdzona zostanie prawomocność postanowienia o zatwierdzeniu układu. </w:t>
            </w:r>
          </w:p>
          <w:p w14:paraId="5B667618" w14:textId="77777777" w:rsidR="0036440C" w:rsidRPr="0036440C" w:rsidRDefault="0036440C" w:rsidP="0036440C">
            <w:pPr>
              <w:numPr>
                <w:ilvl w:val="0"/>
                <w:numId w:val="50"/>
              </w:numPr>
              <w:autoSpaceDN w:val="0"/>
              <w:spacing w:after="16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36440C">
              <w:rPr>
                <w:rFonts w:eastAsia="Times New Roman" w:cs="Calibri"/>
                <w:sz w:val="20"/>
                <w:szCs w:val="20"/>
              </w:rPr>
              <w:lastRenderedPageBreak/>
              <w:t xml:space="preserve">W zakresie wysokości każdej z wierzytelności, w tym dokładnej łącznej wartości wierzytelności wierzycieli zaliczonych do poszczególnych Grup, Spółka odsyła do złożonego do akt postępowania spisu wierzytelności.  </w:t>
            </w:r>
          </w:p>
          <w:p w14:paraId="04CD6AA3" w14:textId="77777777" w:rsidR="0036440C" w:rsidRPr="0036440C" w:rsidRDefault="0036440C" w:rsidP="0036440C">
            <w:pPr>
              <w:numPr>
                <w:ilvl w:val="0"/>
                <w:numId w:val="50"/>
              </w:numPr>
              <w:autoSpaceDN w:val="0"/>
              <w:spacing w:after="16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36440C">
              <w:rPr>
                <w:rFonts w:eastAsia="Times New Roman" w:cs="Calibri"/>
                <w:sz w:val="20"/>
                <w:szCs w:val="20"/>
              </w:rPr>
              <w:t>Jeżeli po dniu zatwierdzenia układu, ujawnione zostaną wierzytelności powstałe przed datą ustalenia dnia układowego a niewskazane w spisie wierzytelności, będą one objęte układem z mocy prawa i podlegać będą zaspokojeniu zgodnie z propozycjami dla danej grupy. Zaliczenie do odpowiedniej Grupy nastąpi zgodnie z przyjętymi kryteriami wyodrębnienia. </w:t>
            </w:r>
          </w:p>
          <w:p w14:paraId="5780A29D" w14:textId="77777777" w:rsidR="0036440C" w:rsidRPr="00AE156D" w:rsidRDefault="0036440C" w:rsidP="0036440C">
            <w:pPr>
              <w:spacing w:line="276" w:lineRule="auto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AE156D">
              <w:rPr>
                <w:rFonts w:cs="Calibri"/>
                <w:b/>
                <w:bCs/>
                <w:sz w:val="20"/>
                <w:szCs w:val="20"/>
              </w:rPr>
              <w:t>Grupa I</w:t>
            </w:r>
          </w:p>
          <w:p w14:paraId="7CEB5219" w14:textId="77777777" w:rsidR="0036440C" w:rsidRPr="0036440C" w:rsidRDefault="0036440C" w:rsidP="0036440C">
            <w:pPr>
              <w:numPr>
                <w:ilvl w:val="0"/>
                <w:numId w:val="51"/>
              </w:numPr>
              <w:suppressAutoHyphens/>
              <w:autoSpaceDN w:val="0"/>
              <w:spacing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36440C">
              <w:rPr>
                <w:rFonts w:cs="Calibri"/>
                <w:b/>
                <w:bCs/>
                <w:sz w:val="20"/>
                <w:szCs w:val="20"/>
              </w:rPr>
              <w:t>Opis Grupy:</w:t>
            </w:r>
          </w:p>
          <w:p w14:paraId="6AB98CF4" w14:textId="3AD93B83" w:rsidR="0036440C" w:rsidRPr="0036440C" w:rsidRDefault="0036440C" w:rsidP="0036440C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bookmarkStart w:id="0" w:name="_Hlk134695171"/>
            <w:r w:rsidRPr="0036440C">
              <w:rPr>
                <w:rFonts w:cs="Calibri"/>
                <w:sz w:val="20"/>
                <w:szCs w:val="20"/>
              </w:rPr>
              <w:t xml:space="preserve">Wierzytelności publicznoprawne przysługujące Zakładowi Ubezpieczeń Społecznych, o których mowa w art. 160 ustawy z dnia 15 maja 2015 r. – Prawo restrukturyzacyjne (tj. Dz.U. z 2021 r. poz. 1588) oraz wierzytelności publicznoprawne przysługujące Skarbowi Państwa Reprezentowanemu przez Naczelnika Pierwszego </w:t>
            </w:r>
            <w:r w:rsidR="00AE156D">
              <w:rPr>
                <w:rFonts w:cs="Calibri"/>
                <w:sz w:val="20"/>
                <w:szCs w:val="20"/>
              </w:rPr>
              <w:t xml:space="preserve">Śląskiego </w:t>
            </w:r>
            <w:r w:rsidRPr="0036440C">
              <w:rPr>
                <w:rFonts w:cs="Calibri"/>
                <w:sz w:val="20"/>
                <w:szCs w:val="20"/>
              </w:rPr>
              <w:t xml:space="preserve">Urzędu Skarbowego w </w:t>
            </w:r>
            <w:r w:rsidR="00AE156D">
              <w:rPr>
                <w:rFonts w:cs="Calibri"/>
                <w:sz w:val="20"/>
                <w:szCs w:val="20"/>
              </w:rPr>
              <w:t xml:space="preserve">Sosnowcu. </w:t>
            </w:r>
          </w:p>
          <w:bookmarkEnd w:id="0"/>
          <w:p w14:paraId="6B6160DA" w14:textId="77777777" w:rsidR="0036440C" w:rsidRPr="0036440C" w:rsidRDefault="0036440C" w:rsidP="0036440C">
            <w:pPr>
              <w:numPr>
                <w:ilvl w:val="0"/>
                <w:numId w:val="51"/>
              </w:numPr>
              <w:suppressAutoHyphens/>
              <w:autoSpaceDN w:val="0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36440C">
              <w:rPr>
                <w:rFonts w:cs="Calibri"/>
                <w:b/>
                <w:bCs/>
                <w:sz w:val="20"/>
                <w:szCs w:val="20"/>
              </w:rPr>
              <w:t>Propozycja spłaty:</w:t>
            </w:r>
            <w:r w:rsidRPr="0036440C">
              <w:rPr>
                <w:rFonts w:cs="Calibri"/>
                <w:sz w:val="20"/>
                <w:szCs w:val="20"/>
              </w:rPr>
              <w:t xml:space="preserve"> </w:t>
            </w:r>
          </w:p>
          <w:p w14:paraId="11CD80D6" w14:textId="77777777" w:rsidR="0036440C" w:rsidRPr="0036440C" w:rsidRDefault="0036440C" w:rsidP="0036440C">
            <w:pPr>
              <w:spacing w:line="276" w:lineRule="auto"/>
              <w:jc w:val="both"/>
              <w:rPr>
                <w:sz w:val="20"/>
                <w:szCs w:val="20"/>
              </w:rPr>
            </w:pPr>
            <w:bookmarkStart w:id="1" w:name="_Hlk136007023"/>
            <w:r w:rsidRPr="0036440C">
              <w:rPr>
                <w:rFonts w:cs="Calibri"/>
                <w:sz w:val="20"/>
                <w:szCs w:val="20"/>
              </w:rPr>
              <w:t xml:space="preserve">Spłata </w:t>
            </w:r>
            <w:r w:rsidRPr="0036440C">
              <w:rPr>
                <w:rFonts w:cs="Calibri"/>
                <w:b/>
                <w:bCs/>
                <w:sz w:val="20"/>
                <w:szCs w:val="20"/>
              </w:rPr>
              <w:t>100%</w:t>
            </w:r>
            <w:r w:rsidRPr="0036440C">
              <w:rPr>
                <w:rFonts w:cs="Calibri"/>
                <w:sz w:val="20"/>
                <w:szCs w:val="20"/>
              </w:rPr>
              <w:t xml:space="preserve"> wierzytelności głównej oraz wierzytelności ubocznych, w tym kosztów dochodzenia wierzytelności oraz odsetek.</w:t>
            </w:r>
          </w:p>
          <w:bookmarkEnd w:id="1"/>
          <w:p w14:paraId="13D44C1D" w14:textId="77777777" w:rsidR="0036440C" w:rsidRPr="0036440C" w:rsidRDefault="0036440C" w:rsidP="0036440C">
            <w:pPr>
              <w:numPr>
                <w:ilvl w:val="0"/>
                <w:numId w:val="51"/>
              </w:numPr>
              <w:suppressAutoHyphens/>
              <w:autoSpaceDN w:val="0"/>
              <w:spacing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36440C">
              <w:rPr>
                <w:rFonts w:cs="Calibri"/>
                <w:b/>
                <w:bCs/>
                <w:sz w:val="20"/>
                <w:szCs w:val="20"/>
              </w:rPr>
              <w:t xml:space="preserve">Tryb zaspokojenia: </w:t>
            </w:r>
          </w:p>
          <w:p w14:paraId="7CAF4BC8" w14:textId="2E1F3118" w:rsidR="0036440C" w:rsidRPr="0036440C" w:rsidRDefault="0036440C" w:rsidP="0036440C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36440C">
              <w:rPr>
                <w:rFonts w:cs="Calibri"/>
                <w:sz w:val="20"/>
                <w:szCs w:val="20"/>
              </w:rPr>
              <w:t>Spłata wierzytelności nastąpi w 60 (sześćdziesięciu) równych ratach miesięcznych płatnych na koniec miesiąca począwszy od stycznia 2024 roku, z zastrzeżeniem, że jeżeli data prawomocnego zatwierdzenia układu będzie późniejsza niż styczeń 2024 roku to spłata pierwszej raty nastąpi w miesiącu następującym po miesiącu, w którym doszło do prawomocnego zatwierdzenia układu. Płatność zostanie zrealizowana z zastrzeżeniem, że jeśli jej dzień przypadnie w sobotę, niedzielę lub dzień ustawowo wolny od pracy, dniem płatności będzie kolejny dzień roboczy.</w:t>
            </w:r>
          </w:p>
          <w:p w14:paraId="6BFB2859" w14:textId="77777777" w:rsidR="0036440C" w:rsidRPr="0036440C" w:rsidRDefault="0036440C" w:rsidP="0036440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6440C">
              <w:rPr>
                <w:rFonts w:cs="Calibri"/>
                <w:b/>
                <w:bCs/>
                <w:sz w:val="20"/>
                <w:szCs w:val="20"/>
              </w:rPr>
              <w:t>Grupa II</w:t>
            </w:r>
          </w:p>
          <w:p w14:paraId="1D47BF5E" w14:textId="77777777" w:rsidR="0036440C" w:rsidRPr="0036440C" w:rsidRDefault="0036440C" w:rsidP="0036440C">
            <w:pPr>
              <w:numPr>
                <w:ilvl w:val="0"/>
                <w:numId w:val="52"/>
              </w:numPr>
              <w:suppressAutoHyphens/>
              <w:autoSpaceDN w:val="0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36440C">
              <w:rPr>
                <w:rFonts w:cs="Calibri"/>
                <w:b/>
                <w:bCs/>
                <w:sz w:val="20"/>
                <w:szCs w:val="20"/>
              </w:rPr>
              <w:t>Opis Grupy:</w:t>
            </w:r>
            <w:r w:rsidRPr="0036440C">
              <w:rPr>
                <w:rFonts w:cs="Calibri"/>
                <w:sz w:val="20"/>
                <w:szCs w:val="20"/>
              </w:rPr>
              <w:t xml:space="preserve"> </w:t>
            </w:r>
          </w:p>
          <w:p w14:paraId="64853550" w14:textId="77777777" w:rsidR="0036440C" w:rsidRPr="0036440C" w:rsidRDefault="0036440C" w:rsidP="0036440C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bookmarkStart w:id="2" w:name="_Hlk134707136"/>
            <w:r w:rsidRPr="0036440C">
              <w:rPr>
                <w:rFonts w:cs="Calibri"/>
                <w:sz w:val="20"/>
                <w:szCs w:val="20"/>
              </w:rPr>
              <w:t xml:space="preserve">Wierzytelności przysługujące wierzycielom publicznoprawnym innym niż wymienieni w grupie I oraz wierzytelności z tytułu leasingu. </w:t>
            </w:r>
          </w:p>
          <w:bookmarkEnd w:id="2"/>
          <w:p w14:paraId="655B38CB" w14:textId="77777777" w:rsidR="0036440C" w:rsidRPr="0036440C" w:rsidRDefault="0036440C" w:rsidP="0036440C">
            <w:pPr>
              <w:numPr>
                <w:ilvl w:val="0"/>
                <w:numId w:val="52"/>
              </w:numPr>
              <w:suppressAutoHyphens/>
              <w:autoSpaceDN w:val="0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36440C">
              <w:rPr>
                <w:rFonts w:cs="Calibri"/>
                <w:b/>
                <w:bCs/>
                <w:sz w:val="20"/>
                <w:szCs w:val="20"/>
              </w:rPr>
              <w:t>Propozycja spłaty:</w:t>
            </w:r>
            <w:r w:rsidRPr="0036440C">
              <w:rPr>
                <w:rFonts w:cs="Calibri"/>
                <w:sz w:val="20"/>
                <w:szCs w:val="20"/>
              </w:rPr>
              <w:t xml:space="preserve"> </w:t>
            </w:r>
          </w:p>
          <w:p w14:paraId="779EB1D0" w14:textId="77777777" w:rsidR="0036440C" w:rsidRPr="0036440C" w:rsidRDefault="0036440C" w:rsidP="0036440C">
            <w:pPr>
              <w:spacing w:line="276" w:lineRule="auto"/>
              <w:jc w:val="both"/>
              <w:rPr>
                <w:sz w:val="20"/>
                <w:szCs w:val="20"/>
              </w:rPr>
            </w:pPr>
            <w:bookmarkStart w:id="3" w:name="_Hlk136007489"/>
            <w:r w:rsidRPr="0036440C">
              <w:rPr>
                <w:rFonts w:cs="Calibri"/>
                <w:sz w:val="20"/>
                <w:szCs w:val="20"/>
              </w:rPr>
              <w:t xml:space="preserve">Spłata </w:t>
            </w:r>
            <w:r w:rsidRPr="0036440C">
              <w:rPr>
                <w:rFonts w:cs="Calibri"/>
                <w:b/>
                <w:bCs/>
                <w:sz w:val="20"/>
                <w:szCs w:val="20"/>
              </w:rPr>
              <w:t>100%</w:t>
            </w:r>
            <w:r w:rsidRPr="0036440C">
              <w:rPr>
                <w:rFonts w:cs="Calibri"/>
                <w:sz w:val="20"/>
                <w:szCs w:val="20"/>
              </w:rPr>
              <w:t xml:space="preserve"> wierzytelności głównej oraz wierzytelności ubocznych, w tym kosztów dochodzenia wierzytelności oraz odsetek.</w:t>
            </w:r>
          </w:p>
          <w:bookmarkEnd w:id="3"/>
          <w:p w14:paraId="1E187240" w14:textId="77777777" w:rsidR="0036440C" w:rsidRPr="0036440C" w:rsidRDefault="0036440C" w:rsidP="0036440C">
            <w:pPr>
              <w:numPr>
                <w:ilvl w:val="0"/>
                <w:numId w:val="52"/>
              </w:numPr>
              <w:suppressAutoHyphens/>
              <w:autoSpaceDN w:val="0"/>
              <w:spacing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36440C">
              <w:rPr>
                <w:rFonts w:cs="Calibri"/>
                <w:b/>
                <w:bCs/>
                <w:sz w:val="20"/>
                <w:szCs w:val="20"/>
              </w:rPr>
              <w:t xml:space="preserve">Tryb zaspokojenia: </w:t>
            </w:r>
          </w:p>
          <w:p w14:paraId="259D75CA" w14:textId="5139CFEB" w:rsidR="0036440C" w:rsidRPr="0036440C" w:rsidRDefault="0036440C" w:rsidP="0036440C">
            <w:pPr>
              <w:tabs>
                <w:tab w:val="left" w:pos="7120"/>
              </w:tabs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36440C">
              <w:rPr>
                <w:rFonts w:cs="Calibri"/>
                <w:sz w:val="20"/>
                <w:szCs w:val="20"/>
              </w:rPr>
              <w:t xml:space="preserve">Spłata wierzytelności nastąpi jednorazowo do końca I kwartału 2024 roku, z zastrzeżeniem, że jeżeli układ nie zostanie prawomocnie zatwierdzony w pierwszym kwartale 2024 roku to płatność pierwszej raty nastąpi do końca kwartału następującego po tym, w którym układ stał się prawomocny. </w:t>
            </w:r>
            <w:bookmarkStart w:id="4" w:name="_Hlk136276652"/>
            <w:r w:rsidRPr="0036440C">
              <w:rPr>
                <w:rFonts w:cs="Calibri"/>
                <w:sz w:val="20"/>
                <w:szCs w:val="20"/>
              </w:rPr>
              <w:t>Płatność zostanie zrealizowana z zastrzeżeniem, że jeśli jej dzień przypadnie w sobotę, niedzielę lub dzień ustawowo wolny od pracy, dniem płatności będzie kolejny dzień roboczy.</w:t>
            </w:r>
            <w:bookmarkEnd w:id="4"/>
          </w:p>
          <w:p w14:paraId="24BC91B0" w14:textId="77777777" w:rsidR="0036440C" w:rsidRPr="0036440C" w:rsidRDefault="0036440C" w:rsidP="0036440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6440C">
              <w:rPr>
                <w:rFonts w:cs="Calibri"/>
                <w:b/>
                <w:bCs/>
                <w:sz w:val="20"/>
                <w:szCs w:val="20"/>
              </w:rPr>
              <w:t>Grupa III</w:t>
            </w:r>
          </w:p>
          <w:p w14:paraId="712DD577" w14:textId="77777777" w:rsidR="0036440C" w:rsidRPr="0036440C" w:rsidRDefault="0036440C" w:rsidP="0036440C">
            <w:pPr>
              <w:numPr>
                <w:ilvl w:val="0"/>
                <w:numId w:val="53"/>
              </w:numPr>
              <w:suppressAutoHyphens/>
              <w:autoSpaceDN w:val="0"/>
              <w:spacing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36440C">
              <w:rPr>
                <w:rFonts w:cs="Calibri"/>
                <w:b/>
                <w:bCs/>
                <w:sz w:val="20"/>
                <w:szCs w:val="20"/>
              </w:rPr>
              <w:t>Opis Grupy:</w:t>
            </w:r>
          </w:p>
          <w:p w14:paraId="06632FD8" w14:textId="77777777" w:rsidR="0036440C" w:rsidRPr="0036440C" w:rsidRDefault="0036440C" w:rsidP="0036440C">
            <w:pPr>
              <w:spacing w:line="276" w:lineRule="auto"/>
              <w:ind w:right="141"/>
              <w:jc w:val="both"/>
              <w:rPr>
                <w:rFonts w:cs="Times New Roman"/>
                <w:sz w:val="20"/>
                <w:szCs w:val="20"/>
              </w:rPr>
            </w:pPr>
            <w:bookmarkStart w:id="5" w:name="_Hlk134707416"/>
            <w:r w:rsidRPr="0036440C">
              <w:rPr>
                <w:rFonts w:cs="Calibri"/>
                <w:sz w:val="20"/>
                <w:szCs w:val="20"/>
              </w:rPr>
              <w:t>Wierzytelności wobec ING Bank Śląski S.A. z tytułu umowy</w:t>
            </w:r>
            <w:r w:rsidRPr="0036440C">
              <w:rPr>
                <w:sz w:val="20"/>
                <w:szCs w:val="20"/>
              </w:rPr>
              <w:t xml:space="preserve"> </w:t>
            </w:r>
            <w:r w:rsidRPr="0036440C">
              <w:rPr>
                <w:rFonts w:cs="Calibri"/>
                <w:sz w:val="20"/>
                <w:szCs w:val="20"/>
              </w:rPr>
              <w:t xml:space="preserve">kredytu obrotowego </w:t>
            </w:r>
            <w:r w:rsidRPr="0036440C">
              <w:rPr>
                <w:rFonts w:cs="Calibri"/>
                <w:sz w:val="20"/>
                <w:szCs w:val="20"/>
              </w:rPr>
              <w:br/>
              <w:t>nieodnawialnego nr  FT/855/2018/00003144/00, umowy kredytu obrotowego nieodnawialnego</w:t>
            </w:r>
            <w:r w:rsidRPr="0036440C">
              <w:rPr>
                <w:rFonts w:cs="Calibri"/>
                <w:sz w:val="20"/>
                <w:szCs w:val="20"/>
              </w:rPr>
              <w:br/>
              <w:t xml:space="preserve"> nr FT/855/2021/00004673/00 i umowy o produkt dyskontowy odnawialny nr FT/855/2019/00003329/00 oraz wierzytelność warunkowa wobec Banku Gospodarstwa Krajowego należna w przypadku wykonania gwarancji zabezpieczającej spłatę z tytułu umowy kredytu obrotowego nieodnawialnego nr  FT/855/2018/00003144/00 oraz umowy kredytu obrotowego nieodnawialnego  nr FT/855/2021/00004673/00.</w:t>
            </w:r>
          </w:p>
          <w:bookmarkEnd w:id="5"/>
          <w:p w14:paraId="262F1D74" w14:textId="77777777" w:rsidR="0036440C" w:rsidRPr="0036440C" w:rsidRDefault="0036440C" w:rsidP="0036440C">
            <w:pPr>
              <w:numPr>
                <w:ilvl w:val="0"/>
                <w:numId w:val="53"/>
              </w:numPr>
              <w:suppressAutoHyphens/>
              <w:autoSpaceDN w:val="0"/>
              <w:spacing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36440C">
              <w:rPr>
                <w:rFonts w:cs="Calibri"/>
                <w:b/>
                <w:bCs/>
                <w:sz w:val="20"/>
                <w:szCs w:val="20"/>
              </w:rPr>
              <w:t>Propozycja spłaty:</w:t>
            </w:r>
          </w:p>
          <w:p w14:paraId="7889B684" w14:textId="77777777" w:rsidR="0036440C" w:rsidRPr="0036440C" w:rsidRDefault="0036440C" w:rsidP="0036440C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36440C">
              <w:rPr>
                <w:rFonts w:cs="Calibri"/>
                <w:sz w:val="20"/>
                <w:szCs w:val="20"/>
              </w:rPr>
              <w:t xml:space="preserve">Spłata </w:t>
            </w:r>
            <w:r w:rsidRPr="0036440C">
              <w:rPr>
                <w:rFonts w:cs="Calibri"/>
                <w:b/>
                <w:bCs/>
                <w:sz w:val="20"/>
                <w:szCs w:val="20"/>
              </w:rPr>
              <w:t>100%</w:t>
            </w:r>
            <w:r w:rsidRPr="0036440C">
              <w:rPr>
                <w:rFonts w:cs="Calibri"/>
                <w:sz w:val="20"/>
                <w:szCs w:val="20"/>
              </w:rPr>
              <w:t xml:space="preserve"> wierzytelności głównej oraz wierzytelności ubocznych, w tym kosztów dochodzenia wierzytelności oraz odsetek.</w:t>
            </w:r>
          </w:p>
          <w:p w14:paraId="562BDBD0" w14:textId="77777777" w:rsidR="0036440C" w:rsidRPr="0036440C" w:rsidRDefault="0036440C" w:rsidP="0036440C">
            <w:pPr>
              <w:numPr>
                <w:ilvl w:val="0"/>
                <w:numId w:val="53"/>
              </w:numPr>
              <w:suppressAutoHyphens/>
              <w:autoSpaceDN w:val="0"/>
              <w:spacing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36440C">
              <w:rPr>
                <w:rFonts w:cs="Calibri"/>
                <w:b/>
                <w:bCs/>
                <w:sz w:val="20"/>
                <w:szCs w:val="20"/>
              </w:rPr>
              <w:t xml:space="preserve">Tryb zaspokojenia: </w:t>
            </w:r>
          </w:p>
          <w:p w14:paraId="6B9CB01F" w14:textId="77777777" w:rsidR="0036440C" w:rsidRPr="0036440C" w:rsidRDefault="0036440C" w:rsidP="0036440C">
            <w:pPr>
              <w:numPr>
                <w:ilvl w:val="0"/>
                <w:numId w:val="54"/>
              </w:numPr>
              <w:suppressAutoHyphens/>
              <w:autoSpaceDN w:val="0"/>
              <w:spacing w:line="276" w:lineRule="auto"/>
              <w:ind w:left="993"/>
              <w:jc w:val="both"/>
              <w:rPr>
                <w:rFonts w:cs="Times New Roman"/>
                <w:sz w:val="20"/>
                <w:szCs w:val="20"/>
              </w:rPr>
            </w:pPr>
            <w:r w:rsidRPr="0036440C">
              <w:rPr>
                <w:rFonts w:cs="Calibri"/>
                <w:sz w:val="20"/>
                <w:szCs w:val="20"/>
              </w:rPr>
              <w:t>Spłata wierzytelności</w:t>
            </w:r>
            <w:r w:rsidRPr="0036440C">
              <w:rPr>
                <w:sz w:val="20"/>
                <w:szCs w:val="20"/>
              </w:rPr>
              <w:t xml:space="preserve"> </w:t>
            </w:r>
            <w:r w:rsidRPr="0036440C">
              <w:rPr>
                <w:rFonts w:cs="Calibri"/>
                <w:sz w:val="20"/>
                <w:szCs w:val="20"/>
              </w:rPr>
              <w:t xml:space="preserve">z tytułu umowy kredytu obrotowego nieodnawialnego nr FT/855/2018/00003144/00, umowy kredytu obrotowego nieodnawialnego nr </w:t>
            </w:r>
            <w:r w:rsidRPr="0036440C">
              <w:rPr>
                <w:rFonts w:cs="Calibri"/>
                <w:sz w:val="20"/>
                <w:szCs w:val="20"/>
              </w:rPr>
              <w:lastRenderedPageBreak/>
              <w:t xml:space="preserve">FT/855/2021/00004673/00 nastąpi zgodnie z obowiązującym harmonogramem dla każdej z </w:t>
            </w:r>
            <w:proofErr w:type="spellStart"/>
            <w:r w:rsidRPr="0036440C">
              <w:rPr>
                <w:rFonts w:cs="Calibri"/>
                <w:sz w:val="20"/>
                <w:szCs w:val="20"/>
              </w:rPr>
              <w:t>w.w</w:t>
            </w:r>
            <w:proofErr w:type="spellEnd"/>
            <w:r w:rsidRPr="0036440C">
              <w:rPr>
                <w:rFonts w:cs="Calibri"/>
                <w:sz w:val="20"/>
                <w:szCs w:val="20"/>
              </w:rPr>
              <w:t>. umów kredytu z zastrzeżeniem, że płatności bieżące (tj. począwszy od miesiąca następującego po miesiącu, w którym układ stał się prawomocny) rozpoczną się w pierwszym miesiącu następującym po miesiącu, w którym układ stał się prawomocny. Spłata zaległych rat wraz z kosztami oraz odsetkami powstałymi przed dniem układowym oraz rat wraz z odsetkami w trakcie trwania postępowania tj. od dnia układowego do miesiąca, w którym układ stanie się prawomocny nastąpi do końca II kwartału 2024 roku. W przypadku jeżeli układ nie zostanie prawomocnie zatwierdzony do końca II kwartału 2024 roku, wyrównanie nastąpi do końca kolejnego kwartału następującego po tym, w którym doszło do uprawomocnienia się Postanowienia o zatwierdzeniu układu. Płatność zostanie zrealizowana z zastrzeżeniem, że jeśli jej dzień przypadnie w sobotę, niedzielę lub dzień ustawowo wolny od pracy, dniem płatności będzie kolejny dzień roboczy.</w:t>
            </w:r>
          </w:p>
          <w:p w14:paraId="751D953C" w14:textId="77777777" w:rsidR="0036440C" w:rsidRPr="0036440C" w:rsidRDefault="0036440C" w:rsidP="0036440C">
            <w:pPr>
              <w:spacing w:line="276" w:lineRule="auto"/>
              <w:ind w:left="851"/>
              <w:jc w:val="both"/>
              <w:rPr>
                <w:rFonts w:cs="Calibri"/>
                <w:sz w:val="20"/>
                <w:szCs w:val="20"/>
              </w:rPr>
            </w:pPr>
          </w:p>
          <w:p w14:paraId="2D5D84B6" w14:textId="3A25A50E" w:rsidR="0036440C" w:rsidRPr="0036440C" w:rsidRDefault="0036440C" w:rsidP="0036440C">
            <w:pPr>
              <w:spacing w:line="276" w:lineRule="auto"/>
              <w:ind w:left="720"/>
              <w:jc w:val="both"/>
              <w:rPr>
                <w:rFonts w:cs="Calibri"/>
                <w:sz w:val="20"/>
                <w:szCs w:val="20"/>
              </w:rPr>
            </w:pPr>
            <w:r w:rsidRPr="0036440C">
              <w:rPr>
                <w:rFonts w:cs="Calibri"/>
                <w:sz w:val="20"/>
                <w:szCs w:val="20"/>
              </w:rPr>
              <w:t>2) Spłata wierzytelności z tytułu umowy o produkt dyskontowy odnawialny nr FT/855/2019/00003329/00 nastąpi w 12 (dwunastu) równych ratach płatnych na koniec miesiąca począwszy od stycznia 2024 roku, z zastrzeżeniem, że jeżeli data prawomocnego zatwierdzenia układu będzie późniejsza niż styczeń 2024 roku to spłata pierwszej raty nastąpi w miesiącu następującym po miesiącu, w którym doszło do prawomocnego zatwierdzenia układu. Płatność zostanie zrealizowana z zastrzeżeniem, że jeśli jej dzień przypadnie w sobotę, niedzielę lub dzień ustawowo wolny od pracy, dniem płatności będzie kolejny dzień roboczy.</w:t>
            </w:r>
            <w:bookmarkStart w:id="6" w:name="_Hlk136008230"/>
          </w:p>
          <w:p w14:paraId="77B90E2F" w14:textId="77777777" w:rsidR="0036440C" w:rsidRPr="0036440C" w:rsidRDefault="0036440C" w:rsidP="0036440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6440C">
              <w:rPr>
                <w:rFonts w:cs="Calibri"/>
                <w:b/>
                <w:bCs/>
                <w:sz w:val="20"/>
                <w:szCs w:val="20"/>
              </w:rPr>
              <w:t>Grupa IV</w:t>
            </w:r>
          </w:p>
          <w:p w14:paraId="116219A3" w14:textId="77777777" w:rsidR="0036440C" w:rsidRPr="0036440C" w:rsidRDefault="0036440C" w:rsidP="0036440C">
            <w:pPr>
              <w:numPr>
                <w:ilvl w:val="0"/>
                <w:numId w:val="55"/>
              </w:numPr>
              <w:suppressAutoHyphens/>
              <w:autoSpaceDN w:val="0"/>
              <w:spacing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36440C">
              <w:rPr>
                <w:rFonts w:cs="Calibri"/>
                <w:b/>
                <w:bCs/>
                <w:sz w:val="20"/>
                <w:szCs w:val="20"/>
              </w:rPr>
              <w:t>Opis Grupy:</w:t>
            </w:r>
          </w:p>
          <w:p w14:paraId="7B7E3FBA" w14:textId="77777777" w:rsidR="0036440C" w:rsidRPr="0036440C" w:rsidRDefault="0036440C" w:rsidP="0036440C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bookmarkStart w:id="7" w:name="_Hlk134707443"/>
            <w:r w:rsidRPr="0036440C">
              <w:rPr>
                <w:rFonts w:cs="Calibri"/>
                <w:sz w:val="20"/>
                <w:szCs w:val="20"/>
              </w:rPr>
              <w:t xml:space="preserve">Wierzytelności nieujęte w innych Grupach, których wartość wierzytelności głównej jest równa lub wyższa niż 90.000,00 zł. </w:t>
            </w:r>
          </w:p>
          <w:bookmarkEnd w:id="7"/>
          <w:p w14:paraId="355FC7A5" w14:textId="77777777" w:rsidR="0036440C" w:rsidRPr="0036440C" w:rsidRDefault="0036440C" w:rsidP="0036440C">
            <w:pPr>
              <w:numPr>
                <w:ilvl w:val="0"/>
                <w:numId w:val="55"/>
              </w:numPr>
              <w:suppressAutoHyphens/>
              <w:autoSpaceDN w:val="0"/>
              <w:spacing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36440C">
              <w:rPr>
                <w:rFonts w:cs="Calibri"/>
                <w:b/>
                <w:bCs/>
                <w:sz w:val="20"/>
                <w:szCs w:val="20"/>
              </w:rPr>
              <w:t>Propozycja spłaty:</w:t>
            </w:r>
          </w:p>
          <w:p w14:paraId="367ACF32" w14:textId="77777777" w:rsidR="0036440C" w:rsidRPr="0036440C" w:rsidRDefault="0036440C" w:rsidP="0036440C">
            <w:pPr>
              <w:pStyle w:val="Akapitzlist"/>
              <w:numPr>
                <w:ilvl w:val="0"/>
                <w:numId w:val="56"/>
              </w:numPr>
              <w:suppressAutoHyphens/>
              <w:autoSpaceDN w:val="0"/>
              <w:spacing w:after="160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36440C">
              <w:rPr>
                <w:rFonts w:cs="Calibri"/>
                <w:sz w:val="20"/>
                <w:szCs w:val="20"/>
              </w:rPr>
              <w:t>Spłata 60% wierzytelności głównej.</w:t>
            </w:r>
          </w:p>
          <w:p w14:paraId="206B8B3B" w14:textId="77777777" w:rsidR="0036440C" w:rsidRPr="0036440C" w:rsidRDefault="0036440C" w:rsidP="0036440C">
            <w:pPr>
              <w:pStyle w:val="Akapitzlist"/>
              <w:numPr>
                <w:ilvl w:val="0"/>
                <w:numId w:val="56"/>
              </w:numPr>
              <w:suppressAutoHyphens/>
              <w:autoSpaceDN w:val="0"/>
              <w:spacing w:after="160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36440C">
              <w:rPr>
                <w:rFonts w:cs="Calibri"/>
                <w:sz w:val="20"/>
                <w:szCs w:val="20"/>
              </w:rPr>
              <w:t>Umorzenie 40% wierzytelności głównej.</w:t>
            </w:r>
          </w:p>
          <w:p w14:paraId="58C916A5" w14:textId="77777777" w:rsidR="0036440C" w:rsidRPr="0036440C" w:rsidRDefault="0036440C" w:rsidP="0036440C">
            <w:pPr>
              <w:pStyle w:val="Akapitzlist"/>
              <w:numPr>
                <w:ilvl w:val="0"/>
                <w:numId w:val="56"/>
              </w:numPr>
              <w:suppressAutoHyphens/>
              <w:autoSpaceDN w:val="0"/>
              <w:spacing w:after="160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36440C">
              <w:rPr>
                <w:rFonts w:cs="Calibri"/>
                <w:sz w:val="20"/>
                <w:szCs w:val="20"/>
              </w:rPr>
              <w:t>Umorzenie 100% wierzytelności ubocznych, w tym kosztów dochodzenia wierzytelności oraz odsetek.</w:t>
            </w:r>
          </w:p>
          <w:p w14:paraId="3576AB55" w14:textId="77777777" w:rsidR="0036440C" w:rsidRPr="0036440C" w:rsidRDefault="0036440C" w:rsidP="0036440C">
            <w:pPr>
              <w:numPr>
                <w:ilvl w:val="0"/>
                <w:numId w:val="55"/>
              </w:numPr>
              <w:suppressAutoHyphens/>
              <w:autoSpaceDN w:val="0"/>
              <w:spacing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36440C">
              <w:rPr>
                <w:rFonts w:cs="Calibri"/>
                <w:b/>
                <w:bCs/>
                <w:sz w:val="20"/>
                <w:szCs w:val="20"/>
              </w:rPr>
              <w:t>Tryb zaspokojenia:</w:t>
            </w:r>
          </w:p>
          <w:p w14:paraId="6FE129A6" w14:textId="58A11C06" w:rsidR="0036440C" w:rsidRPr="0036440C" w:rsidRDefault="0036440C" w:rsidP="0036440C">
            <w:pPr>
              <w:tabs>
                <w:tab w:val="left" w:pos="7120"/>
              </w:tabs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36440C">
              <w:rPr>
                <w:rFonts w:cs="Calibri"/>
                <w:sz w:val="20"/>
                <w:szCs w:val="20"/>
              </w:rPr>
              <w:t>Spłata wierzytelności nastąpi w 48 (czterdziestu ośmiu) równych ratach miesięcznych płatnych na koniec miesiąca począwszy od stycznia 2024 roku, z zastrzeżeniem, że jeżeli data prawomocnego zatwierdzenia układu będzie późniejsza niż styczeń 2024 roku to spłata pierwszej  raty nastąpi w miesiącu następującym po miesiącu, w którym doszło do prawomocnego zatwierdzenia układu. Płatność zostanie zrealizowana z zastrzeżeniem, że jeśli jej dzień przypadnie w sobotę, niedzielę lub dzień ustawowo wolny od pracy, dniem płatności będzie kolejny dzień roboczy.</w:t>
            </w:r>
          </w:p>
          <w:bookmarkEnd w:id="6"/>
          <w:p w14:paraId="2C07ABCF" w14:textId="77777777" w:rsidR="0036440C" w:rsidRPr="0036440C" w:rsidRDefault="0036440C" w:rsidP="0036440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6440C">
              <w:rPr>
                <w:rFonts w:cs="Calibri"/>
                <w:b/>
                <w:bCs/>
                <w:sz w:val="20"/>
                <w:szCs w:val="20"/>
              </w:rPr>
              <w:t>Grupa V</w:t>
            </w:r>
          </w:p>
          <w:p w14:paraId="3D56EA42" w14:textId="77777777" w:rsidR="0036440C" w:rsidRPr="0036440C" w:rsidRDefault="0036440C" w:rsidP="0036440C">
            <w:pPr>
              <w:numPr>
                <w:ilvl w:val="0"/>
                <w:numId w:val="57"/>
              </w:numPr>
              <w:suppressAutoHyphens/>
              <w:autoSpaceDN w:val="0"/>
              <w:spacing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36440C">
              <w:rPr>
                <w:rFonts w:cs="Calibri"/>
                <w:b/>
                <w:bCs/>
                <w:sz w:val="20"/>
                <w:szCs w:val="20"/>
              </w:rPr>
              <w:t>Opis Grupy:</w:t>
            </w:r>
          </w:p>
          <w:p w14:paraId="4A65B972" w14:textId="77777777" w:rsidR="0036440C" w:rsidRPr="0036440C" w:rsidRDefault="0036440C" w:rsidP="0036440C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36440C">
              <w:rPr>
                <w:rFonts w:cs="Calibri"/>
                <w:sz w:val="20"/>
                <w:szCs w:val="20"/>
              </w:rPr>
              <w:t xml:space="preserve">Wierzytelności nieujęte w innych Grupach, których wartość wierzytelności głównej jest równa lub wyższa niż 20.000,00 zł oraz niższa niż 90.000,00 zł. </w:t>
            </w:r>
          </w:p>
          <w:p w14:paraId="3B883197" w14:textId="77777777" w:rsidR="0036440C" w:rsidRPr="0036440C" w:rsidRDefault="0036440C" w:rsidP="0036440C">
            <w:pPr>
              <w:numPr>
                <w:ilvl w:val="0"/>
                <w:numId w:val="57"/>
              </w:numPr>
              <w:suppressAutoHyphens/>
              <w:autoSpaceDN w:val="0"/>
              <w:spacing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36440C">
              <w:rPr>
                <w:rFonts w:cs="Calibri"/>
                <w:b/>
                <w:bCs/>
                <w:sz w:val="20"/>
                <w:szCs w:val="20"/>
              </w:rPr>
              <w:t>Propozycja spłaty:</w:t>
            </w:r>
          </w:p>
          <w:p w14:paraId="72E34C43" w14:textId="77777777" w:rsidR="0036440C" w:rsidRPr="0036440C" w:rsidRDefault="0036440C" w:rsidP="0036440C">
            <w:pPr>
              <w:pStyle w:val="Akapitzlist"/>
              <w:numPr>
                <w:ilvl w:val="0"/>
                <w:numId w:val="58"/>
              </w:numPr>
              <w:suppressAutoHyphens/>
              <w:autoSpaceDN w:val="0"/>
              <w:spacing w:after="160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36440C">
              <w:rPr>
                <w:rFonts w:cs="Calibri"/>
                <w:sz w:val="20"/>
                <w:szCs w:val="20"/>
              </w:rPr>
              <w:t>Spłata 60% wierzytelności głównej.</w:t>
            </w:r>
          </w:p>
          <w:p w14:paraId="14F1A173" w14:textId="77777777" w:rsidR="0036440C" w:rsidRPr="0036440C" w:rsidRDefault="0036440C" w:rsidP="0036440C">
            <w:pPr>
              <w:pStyle w:val="Akapitzlist"/>
              <w:numPr>
                <w:ilvl w:val="0"/>
                <w:numId w:val="58"/>
              </w:numPr>
              <w:suppressAutoHyphens/>
              <w:autoSpaceDN w:val="0"/>
              <w:spacing w:after="160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36440C">
              <w:rPr>
                <w:rFonts w:cs="Calibri"/>
                <w:sz w:val="20"/>
                <w:szCs w:val="20"/>
              </w:rPr>
              <w:t>Umorzenie 40% wierzytelności głównej.</w:t>
            </w:r>
          </w:p>
          <w:p w14:paraId="14CB7D0A" w14:textId="77777777" w:rsidR="0036440C" w:rsidRPr="0036440C" w:rsidRDefault="0036440C" w:rsidP="0036440C">
            <w:pPr>
              <w:pStyle w:val="Akapitzlist"/>
              <w:numPr>
                <w:ilvl w:val="0"/>
                <w:numId w:val="58"/>
              </w:numPr>
              <w:suppressAutoHyphens/>
              <w:autoSpaceDN w:val="0"/>
              <w:spacing w:after="160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36440C">
              <w:rPr>
                <w:rFonts w:cs="Calibri"/>
                <w:sz w:val="20"/>
                <w:szCs w:val="20"/>
              </w:rPr>
              <w:t>Umorzenie 100% wierzytelności ubocznych, w tym kosztów dochodzenia wierzytelności oraz odsetek.</w:t>
            </w:r>
          </w:p>
          <w:p w14:paraId="5D88AE51" w14:textId="77777777" w:rsidR="0036440C" w:rsidRPr="0036440C" w:rsidRDefault="0036440C" w:rsidP="0036440C">
            <w:pPr>
              <w:numPr>
                <w:ilvl w:val="0"/>
                <w:numId w:val="57"/>
              </w:numPr>
              <w:suppressAutoHyphens/>
              <w:autoSpaceDN w:val="0"/>
              <w:spacing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36440C">
              <w:rPr>
                <w:rFonts w:cs="Calibri"/>
                <w:b/>
                <w:bCs/>
                <w:sz w:val="20"/>
                <w:szCs w:val="20"/>
              </w:rPr>
              <w:t>Tryb zaspokojenia:</w:t>
            </w:r>
          </w:p>
          <w:p w14:paraId="0052496C" w14:textId="4A4BCA6A" w:rsidR="0036440C" w:rsidRPr="0036440C" w:rsidRDefault="0036440C" w:rsidP="0036440C">
            <w:pPr>
              <w:tabs>
                <w:tab w:val="left" w:pos="7120"/>
              </w:tabs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36440C">
              <w:rPr>
                <w:rFonts w:cs="Calibri"/>
                <w:sz w:val="20"/>
                <w:szCs w:val="20"/>
              </w:rPr>
              <w:t>Spłata wierzytelności nastąpi w 12 (dwunastu) równych ratach kwartalnych płatnych na koniec każdego kwartału począwszy od pierwszego kwartału 2024 roku</w:t>
            </w:r>
            <w:bookmarkStart w:id="8" w:name="_Hlk136276548"/>
            <w:r w:rsidRPr="0036440C">
              <w:rPr>
                <w:rFonts w:cs="Calibri"/>
                <w:sz w:val="20"/>
                <w:szCs w:val="20"/>
              </w:rPr>
              <w:t>, z zastrzeżeniem, że jeżeli układ nie zostanie prawomocnie zatwierdzony w pierwszym kwartale 2024 roku to płatność pierwszej raty nastąpi do końca kwartału następującego po tym, w którym układ stał się prawomocny</w:t>
            </w:r>
            <w:bookmarkEnd w:id="8"/>
            <w:r w:rsidRPr="0036440C">
              <w:rPr>
                <w:rFonts w:cs="Calibri"/>
                <w:sz w:val="20"/>
                <w:szCs w:val="20"/>
              </w:rPr>
              <w:t xml:space="preserve">. Płatność zostanie zrealizowana z zastrzeżeniem, że </w:t>
            </w:r>
            <w:r w:rsidRPr="0036440C">
              <w:rPr>
                <w:rFonts w:cs="Calibri"/>
                <w:sz w:val="20"/>
                <w:szCs w:val="20"/>
              </w:rPr>
              <w:lastRenderedPageBreak/>
              <w:t>jeśli jej dzień przypadnie w sobotę, niedzielę lub dzień ustawowo wolny od pracy, dniem płatności będzie kolejny dzień roboczy.</w:t>
            </w:r>
          </w:p>
          <w:p w14:paraId="6FD77438" w14:textId="77777777" w:rsidR="0036440C" w:rsidRPr="0036440C" w:rsidRDefault="0036440C" w:rsidP="0036440C">
            <w:pPr>
              <w:spacing w:line="276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6440C">
              <w:rPr>
                <w:rFonts w:cs="Calibri"/>
                <w:b/>
                <w:bCs/>
                <w:sz w:val="20"/>
                <w:szCs w:val="20"/>
              </w:rPr>
              <w:t>Grupa VI</w:t>
            </w:r>
          </w:p>
          <w:p w14:paraId="37928D32" w14:textId="77777777" w:rsidR="0036440C" w:rsidRPr="0036440C" w:rsidRDefault="0036440C" w:rsidP="0036440C">
            <w:pPr>
              <w:numPr>
                <w:ilvl w:val="0"/>
                <w:numId w:val="59"/>
              </w:numPr>
              <w:suppressAutoHyphens/>
              <w:autoSpaceDN w:val="0"/>
              <w:spacing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36440C">
              <w:rPr>
                <w:rFonts w:cs="Calibri"/>
                <w:b/>
                <w:bCs/>
                <w:sz w:val="20"/>
                <w:szCs w:val="20"/>
              </w:rPr>
              <w:t>Opis Grupy:</w:t>
            </w:r>
          </w:p>
          <w:p w14:paraId="0C3F7AFA" w14:textId="77777777" w:rsidR="0036440C" w:rsidRPr="0036440C" w:rsidRDefault="0036440C" w:rsidP="0036440C">
            <w:pPr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36440C">
              <w:rPr>
                <w:rFonts w:cs="Calibri"/>
                <w:sz w:val="20"/>
                <w:szCs w:val="20"/>
              </w:rPr>
              <w:t xml:space="preserve">Wierzytelności nieujęte w innych Grupach, których wartość wierzytelności głównej jest niższa niż 20.000,00 zł. </w:t>
            </w:r>
          </w:p>
          <w:p w14:paraId="7A5D8B0E" w14:textId="77777777" w:rsidR="0036440C" w:rsidRPr="0036440C" w:rsidRDefault="0036440C" w:rsidP="0036440C">
            <w:pPr>
              <w:numPr>
                <w:ilvl w:val="0"/>
                <w:numId w:val="59"/>
              </w:numPr>
              <w:suppressAutoHyphens/>
              <w:autoSpaceDN w:val="0"/>
              <w:spacing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36440C">
              <w:rPr>
                <w:rFonts w:cs="Calibri"/>
                <w:b/>
                <w:bCs/>
                <w:sz w:val="20"/>
                <w:szCs w:val="20"/>
              </w:rPr>
              <w:t>Propozycja spłaty:</w:t>
            </w:r>
          </w:p>
          <w:p w14:paraId="71AC87CD" w14:textId="77777777" w:rsidR="0036440C" w:rsidRPr="0036440C" w:rsidRDefault="0036440C" w:rsidP="0036440C">
            <w:pPr>
              <w:pStyle w:val="Akapitzlist"/>
              <w:numPr>
                <w:ilvl w:val="0"/>
                <w:numId w:val="60"/>
              </w:numPr>
              <w:suppressAutoHyphens/>
              <w:autoSpaceDN w:val="0"/>
              <w:spacing w:after="160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36440C">
              <w:rPr>
                <w:rFonts w:cs="Calibri"/>
                <w:sz w:val="20"/>
                <w:szCs w:val="20"/>
              </w:rPr>
              <w:t>Spłata 70% wierzytelności głównej.</w:t>
            </w:r>
          </w:p>
          <w:p w14:paraId="02E2BD16" w14:textId="77777777" w:rsidR="0036440C" w:rsidRPr="0036440C" w:rsidRDefault="0036440C" w:rsidP="0036440C">
            <w:pPr>
              <w:pStyle w:val="Akapitzlist"/>
              <w:numPr>
                <w:ilvl w:val="0"/>
                <w:numId w:val="60"/>
              </w:numPr>
              <w:suppressAutoHyphens/>
              <w:autoSpaceDN w:val="0"/>
              <w:spacing w:after="160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36440C">
              <w:rPr>
                <w:rFonts w:cs="Calibri"/>
                <w:sz w:val="20"/>
                <w:szCs w:val="20"/>
              </w:rPr>
              <w:t>Umorzenie 30% wierzytelności głównej.</w:t>
            </w:r>
          </w:p>
          <w:p w14:paraId="4F7CA0F9" w14:textId="77777777" w:rsidR="0036440C" w:rsidRPr="0036440C" w:rsidRDefault="0036440C" w:rsidP="0036440C">
            <w:pPr>
              <w:pStyle w:val="Akapitzlist"/>
              <w:numPr>
                <w:ilvl w:val="0"/>
                <w:numId w:val="60"/>
              </w:numPr>
              <w:suppressAutoHyphens/>
              <w:autoSpaceDN w:val="0"/>
              <w:spacing w:after="160"/>
              <w:contextualSpacing w:val="0"/>
              <w:jc w:val="both"/>
              <w:rPr>
                <w:rFonts w:cs="Calibri"/>
                <w:sz w:val="20"/>
                <w:szCs w:val="20"/>
              </w:rPr>
            </w:pPr>
            <w:r w:rsidRPr="0036440C">
              <w:rPr>
                <w:rFonts w:cs="Calibri"/>
                <w:sz w:val="20"/>
                <w:szCs w:val="20"/>
              </w:rPr>
              <w:t>Umorzenie 100% wierzytelności ubocznych, w tym kosztów dochodzenia wierzytelności oraz odsetek.</w:t>
            </w:r>
          </w:p>
          <w:p w14:paraId="7B386232" w14:textId="77777777" w:rsidR="0036440C" w:rsidRPr="0036440C" w:rsidRDefault="0036440C" w:rsidP="0036440C">
            <w:pPr>
              <w:numPr>
                <w:ilvl w:val="0"/>
                <w:numId w:val="59"/>
              </w:numPr>
              <w:suppressAutoHyphens/>
              <w:autoSpaceDN w:val="0"/>
              <w:spacing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36440C">
              <w:rPr>
                <w:rFonts w:cs="Calibri"/>
                <w:b/>
                <w:bCs/>
                <w:sz w:val="20"/>
                <w:szCs w:val="20"/>
              </w:rPr>
              <w:t>Tryb zaspokojenia:</w:t>
            </w:r>
          </w:p>
          <w:p w14:paraId="7F04D8F8" w14:textId="7965E4A3" w:rsidR="00CB5008" w:rsidRPr="000C700C" w:rsidRDefault="0036440C" w:rsidP="000C700C">
            <w:pPr>
              <w:tabs>
                <w:tab w:val="left" w:pos="7120"/>
              </w:tabs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36440C">
              <w:rPr>
                <w:rFonts w:cs="Calibri"/>
                <w:sz w:val="20"/>
                <w:szCs w:val="20"/>
              </w:rPr>
              <w:t>Spłata wierzytelności nastąpi w 8 (ośmiu) równych ratach kwartalnych płatnych na koniec każdego kwartału począwszy od pierwszego kwartału 2024 roku, z zastrzeżeniem, że jeżeli układ nie zostanie prawomocnie zatwierdzony w pierwszym kwartale 2024 roku to płatność pierwszej raty nastąpi do końca kwartału następującego po tym, w którym układ stał się prawomocny. Płatność zostanie zrealizowana z zastrzeżeniem, że jeśli jej dzień przypadnie w sobotę, niedzielę lub dzień ustawowo wolny od pracy, dniem płatności będzie kolejny dzień roboczy.</w:t>
            </w:r>
          </w:p>
          <w:p w14:paraId="4A5CECD0" w14:textId="27FC7FF5" w:rsidR="00CB5008" w:rsidRPr="00CB5008" w:rsidRDefault="00CB5008" w:rsidP="00CB5008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B5008" w:rsidRPr="00CB5008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CB5008" w:rsidRPr="00CB5008" w:rsidRDefault="00CB5008" w:rsidP="00CB50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lastRenderedPageBreak/>
              <w:t>D. NADZORCA UKŁADU</w:t>
            </w:r>
          </w:p>
        </w:tc>
      </w:tr>
      <w:tr w:rsidR="00CB5008" w:rsidRPr="00CB5008" w14:paraId="2219FC1B" w14:textId="77777777" w:rsidTr="00F43BC3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CB5008" w:rsidRPr="00CB5008" w:rsidRDefault="00CB5008" w:rsidP="00CB5008">
            <w:pPr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>D.1. Imię i nazwisko/nazwa</w:t>
            </w:r>
          </w:p>
        </w:tc>
        <w:tc>
          <w:tcPr>
            <w:tcW w:w="4966" w:type="dxa"/>
            <w:gridSpan w:val="4"/>
            <w:vAlign w:val="center"/>
          </w:tcPr>
          <w:p w14:paraId="6A38DA42" w14:textId="5083BCEB" w:rsidR="00CB5008" w:rsidRPr="00CB5008" w:rsidRDefault="00CB5008" w:rsidP="00CB5008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363E2">
              <w:rPr>
                <w:rFonts w:eastAsia="Calibri" w:cstheme="minorHAnsi"/>
                <w:sz w:val="20"/>
                <w:szCs w:val="20"/>
              </w:rPr>
              <w:t>SiW</w:t>
            </w:r>
            <w:proofErr w:type="spellEnd"/>
            <w:r w:rsidRPr="00F363E2">
              <w:rPr>
                <w:rFonts w:eastAsia="Calibri" w:cstheme="minorHAnsi"/>
                <w:sz w:val="20"/>
                <w:szCs w:val="20"/>
              </w:rPr>
              <w:t xml:space="preserve"> Doradcy Restrukturyzacyjni Sp. z o.o. z siedzibą w Warszawie</w:t>
            </w:r>
          </w:p>
        </w:tc>
      </w:tr>
      <w:tr w:rsidR="00CB5008" w:rsidRPr="00CB5008" w14:paraId="20A827D8" w14:textId="77777777" w:rsidTr="00F43BC3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CB5008" w:rsidRPr="00CB5008" w:rsidRDefault="00CB5008" w:rsidP="00CB5008">
            <w:pPr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>D.2. Numer licencji albo numer w Krajowym Rejestrze Sądowym spółki pełniącej funkcję nadzorcy układu</w:t>
            </w:r>
          </w:p>
        </w:tc>
        <w:tc>
          <w:tcPr>
            <w:tcW w:w="4966" w:type="dxa"/>
            <w:gridSpan w:val="4"/>
            <w:vAlign w:val="center"/>
          </w:tcPr>
          <w:p w14:paraId="5B6B50DD" w14:textId="77777777" w:rsidR="00CB5008" w:rsidRPr="00F363E2" w:rsidRDefault="00CB5008" w:rsidP="00CB5008">
            <w:pPr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F363E2">
              <w:rPr>
                <w:rFonts w:eastAsia="Calibri" w:cstheme="minorHAnsi"/>
                <w:sz w:val="20"/>
                <w:szCs w:val="20"/>
              </w:rPr>
              <w:t>KRS: 0000655957</w:t>
            </w:r>
          </w:p>
          <w:p w14:paraId="563093EF" w14:textId="68F35E08" w:rsidR="00CB5008" w:rsidRPr="00CB5008" w:rsidRDefault="00CB5008" w:rsidP="00CB50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5008" w:rsidRPr="00CB5008" w14:paraId="1E9D2004" w14:textId="77777777" w:rsidTr="00F43BC3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CB5008" w:rsidRPr="00CB5008" w:rsidRDefault="00CB5008" w:rsidP="00CB5008">
            <w:pPr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>D.3. Adres do korespondencji (nazwa ulicy, nr domu, numer lokalu, kod pocztowy, poczta)</w:t>
            </w:r>
          </w:p>
        </w:tc>
        <w:tc>
          <w:tcPr>
            <w:tcW w:w="4966" w:type="dxa"/>
            <w:gridSpan w:val="4"/>
            <w:vAlign w:val="center"/>
          </w:tcPr>
          <w:p w14:paraId="10155CFD" w14:textId="0389AFE4" w:rsidR="00CB5008" w:rsidRPr="00CB5008" w:rsidRDefault="00CB5008" w:rsidP="00CB50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63E2">
              <w:rPr>
                <w:rFonts w:eastAsia="Calibri" w:cstheme="minorHAnsi"/>
                <w:sz w:val="20"/>
                <w:szCs w:val="20"/>
              </w:rPr>
              <w:t>ul. Dąbrowskiego 55 lok 4, 42 – 200 Częstochowa</w:t>
            </w:r>
          </w:p>
        </w:tc>
      </w:tr>
      <w:tr w:rsidR="00CB5008" w:rsidRPr="00CB5008" w14:paraId="44EDDEF5" w14:textId="77777777" w:rsidTr="00F43BC3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CB5008" w:rsidRPr="00CB5008" w:rsidRDefault="00CB5008" w:rsidP="00CB5008">
            <w:pPr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>D.4. Numer telefonu</w:t>
            </w:r>
          </w:p>
        </w:tc>
        <w:tc>
          <w:tcPr>
            <w:tcW w:w="4966" w:type="dxa"/>
            <w:gridSpan w:val="4"/>
            <w:vAlign w:val="center"/>
          </w:tcPr>
          <w:p w14:paraId="63335FC4" w14:textId="542D62D8" w:rsidR="00CB5008" w:rsidRPr="00CB5008" w:rsidRDefault="00CB5008" w:rsidP="00CB5008">
            <w:pPr>
              <w:pStyle w:val="Akapitzlist"/>
              <w:jc w:val="center"/>
              <w:rPr>
                <w:rFonts w:cstheme="minorHAnsi"/>
                <w:sz w:val="20"/>
                <w:szCs w:val="20"/>
              </w:rPr>
            </w:pPr>
            <w:r w:rsidRPr="00F363E2">
              <w:rPr>
                <w:rFonts w:eastAsia="Calibri" w:cstheme="minorHAnsi"/>
                <w:sz w:val="20"/>
                <w:szCs w:val="20"/>
              </w:rPr>
              <w:t>570 956 564; 724 890 145</w:t>
            </w:r>
          </w:p>
        </w:tc>
      </w:tr>
      <w:tr w:rsidR="00CB5008" w:rsidRPr="00CB5008" w14:paraId="2CBE2A81" w14:textId="77777777" w:rsidTr="00F43BC3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CB5008" w:rsidRPr="00CB5008" w:rsidRDefault="00CB5008" w:rsidP="00CB5008">
            <w:pPr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>D.5. Adres poczty elektronicznej</w:t>
            </w:r>
          </w:p>
        </w:tc>
        <w:tc>
          <w:tcPr>
            <w:tcW w:w="4966" w:type="dxa"/>
            <w:gridSpan w:val="4"/>
            <w:vAlign w:val="center"/>
          </w:tcPr>
          <w:p w14:paraId="6BB57E60" w14:textId="6C35C7F7" w:rsidR="00CB5008" w:rsidRPr="00CB5008" w:rsidRDefault="00000000" w:rsidP="00CB5008">
            <w:pPr>
              <w:pStyle w:val="Akapitzlist"/>
              <w:jc w:val="center"/>
              <w:rPr>
                <w:rFonts w:cstheme="minorHAnsi"/>
                <w:sz w:val="20"/>
                <w:szCs w:val="20"/>
              </w:rPr>
            </w:pPr>
            <w:hyperlink r:id="rId11" w:history="1">
              <w:r w:rsidR="00CB5008" w:rsidRPr="00F363E2">
                <w:rPr>
                  <w:rStyle w:val="Hipercze"/>
                  <w:rFonts w:eastAsia="Calibri" w:cstheme="minorHAnsi"/>
                  <w:sz w:val="20"/>
                  <w:szCs w:val="20"/>
                </w:rPr>
                <w:t>info@doradcyrestrukturyzacyjni.biz</w:t>
              </w:r>
            </w:hyperlink>
          </w:p>
        </w:tc>
      </w:tr>
      <w:tr w:rsidR="00CB5008" w:rsidRPr="00CB5008" w14:paraId="2CAE70A0" w14:textId="77777777" w:rsidTr="00CB5008">
        <w:trPr>
          <w:trHeight w:val="84"/>
        </w:trPr>
        <w:tc>
          <w:tcPr>
            <w:tcW w:w="7083" w:type="dxa"/>
            <w:gridSpan w:val="9"/>
            <w:shd w:val="clear" w:color="auto" w:fill="D9D9D9" w:themeFill="background1" w:themeFillShade="D9"/>
          </w:tcPr>
          <w:p w14:paraId="167153A2" w14:textId="77777777" w:rsidR="00CB5008" w:rsidRPr="00CB5008" w:rsidRDefault="00CB5008" w:rsidP="00CB5008">
            <w:pPr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>E. Podpis wierzyciela/osób uprawnionych do jego reprezentowania/pełnomocnika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14A22D3E" w14:textId="77777777" w:rsidR="00CB5008" w:rsidRPr="00CB5008" w:rsidRDefault="00CB5008" w:rsidP="00CB5008">
            <w:pPr>
              <w:rPr>
                <w:rFonts w:cstheme="minorHAnsi"/>
                <w:sz w:val="20"/>
                <w:szCs w:val="20"/>
              </w:rPr>
            </w:pPr>
            <w:r w:rsidRPr="00CB5008">
              <w:rPr>
                <w:rFonts w:cstheme="minorHAnsi"/>
                <w:sz w:val="20"/>
                <w:szCs w:val="20"/>
              </w:rPr>
              <w:t>F. Data oddania głosu</w:t>
            </w:r>
          </w:p>
        </w:tc>
      </w:tr>
      <w:tr w:rsidR="00CB5008" w:rsidRPr="00CB5008" w14:paraId="068013F3" w14:textId="77777777" w:rsidTr="00CB5008">
        <w:trPr>
          <w:trHeight w:val="608"/>
        </w:trPr>
        <w:tc>
          <w:tcPr>
            <w:tcW w:w="7083" w:type="dxa"/>
            <w:gridSpan w:val="9"/>
          </w:tcPr>
          <w:p w14:paraId="271E473A" w14:textId="77777777" w:rsidR="00CB5008" w:rsidRDefault="00CB5008" w:rsidP="00CB5008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2D878AA3" w14:textId="77777777" w:rsidR="009D3B00" w:rsidRDefault="009D3B00" w:rsidP="00CB5008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46BEAC44" w14:textId="77777777" w:rsidR="009D3B00" w:rsidRDefault="009D3B00" w:rsidP="00CB5008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032EAE5A" w14:textId="77777777" w:rsidR="009D3B00" w:rsidRDefault="009D3B00" w:rsidP="00CB5008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3B238071" w14:textId="77777777" w:rsidR="009D3B00" w:rsidRPr="00CB5008" w:rsidRDefault="009D3B00" w:rsidP="00CB5008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4" w:type="dxa"/>
          </w:tcPr>
          <w:p w14:paraId="5C03527B" w14:textId="77777777" w:rsidR="00CB5008" w:rsidRPr="00CB5008" w:rsidRDefault="00CB5008" w:rsidP="00CB5008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</w:tbl>
    <w:p w14:paraId="0DB288DC" w14:textId="77777777" w:rsidR="00C147D2" w:rsidRPr="003F2B6F" w:rsidRDefault="00C147D2" w:rsidP="003F2B6F">
      <w:pPr>
        <w:spacing w:after="0"/>
        <w:jc w:val="both"/>
        <w:rPr>
          <w:rFonts w:cstheme="minorHAnsi"/>
          <w:sz w:val="20"/>
          <w:szCs w:val="20"/>
        </w:rPr>
      </w:pPr>
    </w:p>
    <w:sectPr w:rsidR="00C147D2" w:rsidRPr="003F2B6F" w:rsidSect="008334D9">
      <w:headerReference w:type="even" r:id="rId12"/>
      <w:headerReference w:type="default" r:id="rId13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7ED8C" w14:textId="77777777" w:rsidR="00683559" w:rsidRDefault="00683559" w:rsidP="008334D9">
      <w:pPr>
        <w:spacing w:after="0" w:line="240" w:lineRule="auto"/>
      </w:pPr>
      <w:r>
        <w:separator/>
      </w:r>
    </w:p>
  </w:endnote>
  <w:endnote w:type="continuationSeparator" w:id="0">
    <w:p w14:paraId="74D32A63" w14:textId="77777777" w:rsidR="00683559" w:rsidRDefault="00683559" w:rsidP="008334D9">
      <w:pPr>
        <w:spacing w:after="0" w:line="240" w:lineRule="auto"/>
      </w:pPr>
      <w:r>
        <w:continuationSeparator/>
      </w:r>
    </w:p>
  </w:endnote>
  <w:endnote w:type="continuationNotice" w:id="1">
    <w:p w14:paraId="09F8EFDC" w14:textId="77777777" w:rsidR="00683559" w:rsidRDefault="006835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6A77" w14:textId="77777777" w:rsidR="00683559" w:rsidRDefault="00683559" w:rsidP="008334D9">
      <w:pPr>
        <w:spacing w:after="0" w:line="240" w:lineRule="auto"/>
      </w:pPr>
      <w:r>
        <w:separator/>
      </w:r>
    </w:p>
  </w:footnote>
  <w:footnote w:type="continuationSeparator" w:id="0">
    <w:p w14:paraId="7144CC8D" w14:textId="77777777" w:rsidR="00683559" w:rsidRDefault="00683559" w:rsidP="008334D9">
      <w:pPr>
        <w:spacing w:after="0" w:line="240" w:lineRule="auto"/>
      </w:pPr>
      <w:r>
        <w:continuationSeparator/>
      </w:r>
    </w:p>
  </w:footnote>
  <w:footnote w:type="continuationNotice" w:id="1">
    <w:p w14:paraId="75C14811" w14:textId="77777777" w:rsidR="00683559" w:rsidRDefault="006835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984931"/>
      <w:docPartObj>
        <w:docPartGallery w:val="Page Numbers (Top of Page)"/>
        <w:docPartUnique/>
      </w:docPartObj>
    </w:sdtPr>
    <w:sdtEndPr>
      <w:rPr>
        <w:i/>
      </w:rPr>
    </w:sdtEndPr>
    <w:sdtContent>
      <w:p w14:paraId="66F0B970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 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056FDB">
          <w:rPr>
            <w:i/>
            <w:noProof/>
          </w:rPr>
          <w:t>2</w:t>
        </w:r>
        <w:r w:rsidRPr="008334D9">
          <w:rPr>
            <w:i/>
          </w:rPr>
          <w:fldChar w:fldCharType="end"/>
        </w:r>
      </w:p>
    </w:sdtContent>
  </w:sdt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C43"/>
    <w:multiLevelType w:val="hybridMultilevel"/>
    <w:tmpl w:val="47481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2230"/>
    <w:multiLevelType w:val="hybridMultilevel"/>
    <w:tmpl w:val="8CC25422"/>
    <w:lvl w:ilvl="0" w:tplc="205CCDB0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C41068"/>
    <w:multiLevelType w:val="hybridMultilevel"/>
    <w:tmpl w:val="FFFFFFFF"/>
    <w:lvl w:ilvl="0" w:tplc="2C868B90">
      <w:start w:val="1"/>
      <w:numFmt w:val="decimal"/>
      <w:lvlText w:val="%1."/>
      <w:lvlJc w:val="left"/>
      <w:pPr>
        <w:ind w:left="720" w:hanging="360"/>
      </w:pPr>
    </w:lvl>
    <w:lvl w:ilvl="1" w:tplc="968842CA">
      <w:start w:val="1"/>
      <w:numFmt w:val="lowerLetter"/>
      <w:lvlText w:val="%2."/>
      <w:lvlJc w:val="left"/>
      <w:pPr>
        <w:ind w:left="1440" w:hanging="360"/>
      </w:pPr>
    </w:lvl>
    <w:lvl w:ilvl="2" w:tplc="B26C8244">
      <w:start w:val="1"/>
      <w:numFmt w:val="lowerRoman"/>
      <w:lvlText w:val="%3."/>
      <w:lvlJc w:val="right"/>
      <w:pPr>
        <w:ind w:left="2160" w:hanging="180"/>
      </w:pPr>
    </w:lvl>
    <w:lvl w:ilvl="3" w:tplc="C83A0102">
      <w:start w:val="1"/>
      <w:numFmt w:val="decimal"/>
      <w:lvlText w:val="%4."/>
      <w:lvlJc w:val="left"/>
      <w:pPr>
        <w:ind w:left="2880" w:hanging="360"/>
      </w:pPr>
    </w:lvl>
    <w:lvl w:ilvl="4" w:tplc="13F8743C">
      <w:start w:val="1"/>
      <w:numFmt w:val="lowerLetter"/>
      <w:lvlText w:val="%5."/>
      <w:lvlJc w:val="left"/>
      <w:pPr>
        <w:ind w:left="3600" w:hanging="360"/>
      </w:pPr>
    </w:lvl>
    <w:lvl w:ilvl="5" w:tplc="A8FAF5CE">
      <w:start w:val="1"/>
      <w:numFmt w:val="lowerRoman"/>
      <w:lvlText w:val="%6."/>
      <w:lvlJc w:val="right"/>
      <w:pPr>
        <w:ind w:left="4320" w:hanging="180"/>
      </w:pPr>
    </w:lvl>
    <w:lvl w:ilvl="6" w:tplc="8FA411C0">
      <w:start w:val="1"/>
      <w:numFmt w:val="decimal"/>
      <w:lvlText w:val="%7."/>
      <w:lvlJc w:val="left"/>
      <w:pPr>
        <w:ind w:left="5040" w:hanging="360"/>
      </w:pPr>
    </w:lvl>
    <w:lvl w:ilvl="7" w:tplc="6D76C756">
      <w:start w:val="1"/>
      <w:numFmt w:val="lowerLetter"/>
      <w:lvlText w:val="%8."/>
      <w:lvlJc w:val="left"/>
      <w:pPr>
        <w:ind w:left="5760" w:hanging="360"/>
      </w:pPr>
    </w:lvl>
    <w:lvl w:ilvl="8" w:tplc="BC4C24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7093"/>
    <w:multiLevelType w:val="hybridMultilevel"/>
    <w:tmpl w:val="59C09848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CF0FB8"/>
    <w:multiLevelType w:val="multilevel"/>
    <w:tmpl w:val="58A893B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44F8E"/>
    <w:multiLevelType w:val="hybridMultilevel"/>
    <w:tmpl w:val="218EB232"/>
    <w:lvl w:ilvl="0" w:tplc="C1A2F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51F84"/>
    <w:multiLevelType w:val="multilevel"/>
    <w:tmpl w:val="7F4048C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D026E"/>
    <w:multiLevelType w:val="hybridMultilevel"/>
    <w:tmpl w:val="0AF6BA9A"/>
    <w:lvl w:ilvl="0" w:tplc="5CBAA7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17F4B"/>
    <w:multiLevelType w:val="hybridMultilevel"/>
    <w:tmpl w:val="485C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265C6"/>
    <w:multiLevelType w:val="hybridMultilevel"/>
    <w:tmpl w:val="09E0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10478"/>
    <w:multiLevelType w:val="hybridMultilevel"/>
    <w:tmpl w:val="2D1A8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2EF4"/>
    <w:multiLevelType w:val="multilevel"/>
    <w:tmpl w:val="0DFCC82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337EF"/>
    <w:multiLevelType w:val="hybridMultilevel"/>
    <w:tmpl w:val="3B9679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009E"/>
    <w:multiLevelType w:val="hybridMultilevel"/>
    <w:tmpl w:val="B7BA012C"/>
    <w:lvl w:ilvl="0" w:tplc="3F203242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E826E3"/>
    <w:multiLevelType w:val="hybridMultilevel"/>
    <w:tmpl w:val="22603D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86545"/>
    <w:multiLevelType w:val="hybridMultilevel"/>
    <w:tmpl w:val="04EE9D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25143"/>
    <w:multiLevelType w:val="multilevel"/>
    <w:tmpl w:val="5EE84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67CCF"/>
    <w:multiLevelType w:val="hybridMultilevel"/>
    <w:tmpl w:val="411660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51228"/>
    <w:multiLevelType w:val="hybridMultilevel"/>
    <w:tmpl w:val="78306078"/>
    <w:lvl w:ilvl="0" w:tplc="148EEA0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B724B"/>
    <w:multiLevelType w:val="hybridMultilevel"/>
    <w:tmpl w:val="59C09848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02542DA"/>
    <w:multiLevelType w:val="hybridMultilevel"/>
    <w:tmpl w:val="14460536"/>
    <w:lvl w:ilvl="0" w:tplc="9F807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D01979"/>
    <w:multiLevelType w:val="hybridMultilevel"/>
    <w:tmpl w:val="689CA3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534E8"/>
    <w:multiLevelType w:val="hybridMultilevel"/>
    <w:tmpl w:val="DD3E0C16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734D97"/>
    <w:multiLevelType w:val="hybridMultilevel"/>
    <w:tmpl w:val="40B83B72"/>
    <w:lvl w:ilvl="0" w:tplc="7AF6B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B1ACB"/>
    <w:multiLevelType w:val="hybridMultilevel"/>
    <w:tmpl w:val="B3A8A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3A222B"/>
    <w:multiLevelType w:val="hybridMultilevel"/>
    <w:tmpl w:val="0ED0BBBE"/>
    <w:lvl w:ilvl="0" w:tplc="E544E9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F6401"/>
    <w:multiLevelType w:val="hybridMultilevel"/>
    <w:tmpl w:val="570E2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C851CF"/>
    <w:multiLevelType w:val="hybridMultilevel"/>
    <w:tmpl w:val="5BD0B714"/>
    <w:lvl w:ilvl="0" w:tplc="329CD6C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1F24B1"/>
    <w:multiLevelType w:val="multilevel"/>
    <w:tmpl w:val="860AB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1308A"/>
    <w:multiLevelType w:val="multilevel"/>
    <w:tmpl w:val="AEB4C3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45A24"/>
    <w:multiLevelType w:val="hybridMultilevel"/>
    <w:tmpl w:val="2D6E2D0E"/>
    <w:lvl w:ilvl="0" w:tplc="E6EEFF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943DE0"/>
    <w:multiLevelType w:val="hybridMultilevel"/>
    <w:tmpl w:val="F3268A9A"/>
    <w:lvl w:ilvl="0" w:tplc="1BF876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133AC"/>
    <w:multiLevelType w:val="multilevel"/>
    <w:tmpl w:val="295E7F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112D2A"/>
    <w:multiLevelType w:val="hybridMultilevel"/>
    <w:tmpl w:val="0F406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423E0"/>
    <w:multiLevelType w:val="hybridMultilevel"/>
    <w:tmpl w:val="B0E021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8EEA0C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C0A13"/>
    <w:multiLevelType w:val="hybridMultilevel"/>
    <w:tmpl w:val="E3641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948CD"/>
    <w:multiLevelType w:val="hybridMultilevel"/>
    <w:tmpl w:val="17BA917C"/>
    <w:lvl w:ilvl="0" w:tplc="047C6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2E60AD"/>
    <w:multiLevelType w:val="hybridMultilevel"/>
    <w:tmpl w:val="776E5746"/>
    <w:lvl w:ilvl="0" w:tplc="51F49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D5F29"/>
    <w:multiLevelType w:val="multilevel"/>
    <w:tmpl w:val="E80A4F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08599F"/>
    <w:multiLevelType w:val="hybridMultilevel"/>
    <w:tmpl w:val="59C09848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58E5007"/>
    <w:multiLevelType w:val="multilevel"/>
    <w:tmpl w:val="A4AE2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A6409F"/>
    <w:multiLevelType w:val="hybridMultilevel"/>
    <w:tmpl w:val="FD9612A4"/>
    <w:lvl w:ilvl="0" w:tplc="DE865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E412AC"/>
    <w:multiLevelType w:val="hybridMultilevel"/>
    <w:tmpl w:val="2BD044E4"/>
    <w:lvl w:ilvl="0" w:tplc="85404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415810"/>
    <w:multiLevelType w:val="hybridMultilevel"/>
    <w:tmpl w:val="76D40D2C"/>
    <w:lvl w:ilvl="0" w:tplc="94B8F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41239"/>
    <w:multiLevelType w:val="hybridMultilevel"/>
    <w:tmpl w:val="23EEE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CE6EB4"/>
    <w:multiLevelType w:val="hybridMultilevel"/>
    <w:tmpl w:val="A1EEA1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11352F"/>
    <w:multiLevelType w:val="hybridMultilevel"/>
    <w:tmpl w:val="E2603520"/>
    <w:lvl w:ilvl="0" w:tplc="5F00224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0D3D21"/>
    <w:multiLevelType w:val="multilevel"/>
    <w:tmpl w:val="A4FCDD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277505"/>
    <w:multiLevelType w:val="multilevel"/>
    <w:tmpl w:val="20E8D13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1" w15:restartNumberingAfterBreak="0">
    <w:nsid w:val="762E0878"/>
    <w:multiLevelType w:val="hybridMultilevel"/>
    <w:tmpl w:val="59C09848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8680E8D"/>
    <w:multiLevelType w:val="hybridMultilevel"/>
    <w:tmpl w:val="5DDE8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745A22"/>
    <w:multiLevelType w:val="hybridMultilevel"/>
    <w:tmpl w:val="59C09848"/>
    <w:lvl w:ilvl="0" w:tplc="7EACE938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8F50F4C"/>
    <w:multiLevelType w:val="hybridMultilevel"/>
    <w:tmpl w:val="5E684F5E"/>
    <w:lvl w:ilvl="0" w:tplc="377A9CF0">
      <w:start w:val="1"/>
      <w:numFmt w:val="upperRoman"/>
      <w:lvlText w:val="%1."/>
      <w:lvlJc w:val="right"/>
      <w:pPr>
        <w:ind w:left="145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79" w:hanging="360"/>
      </w:pPr>
    </w:lvl>
    <w:lvl w:ilvl="2" w:tplc="0415001B" w:tentative="1">
      <w:start w:val="1"/>
      <w:numFmt w:val="lowerRoman"/>
      <w:lvlText w:val="%3."/>
      <w:lvlJc w:val="right"/>
      <w:pPr>
        <w:ind w:left="2899" w:hanging="180"/>
      </w:pPr>
    </w:lvl>
    <w:lvl w:ilvl="3" w:tplc="0415000F" w:tentative="1">
      <w:start w:val="1"/>
      <w:numFmt w:val="decimal"/>
      <w:lvlText w:val="%4."/>
      <w:lvlJc w:val="left"/>
      <w:pPr>
        <w:ind w:left="3619" w:hanging="360"/>
      </w:pPr>
    </w:lvl>
    <w:lvl w:ilvl="4" w:tplc="04150019" w:tentative="1">
      <w:start w:val="1"/>
      <w:numFmt w:val="lowerLetter"/>
      <w:lvlText w:val="%5."/>
      <w:lvlJc w:val="left"/>
      <w:pPr>
        <w:ind w:left="4339" w:hanging="360"/>
      </w:pPr>
    </w:lvl>
    <w:lvl w:ilvl="5" w:tplc="0415001B" w:tentative="1">
      <w:start w:val="1"/>
      <w:numFmt w:val="lowerRoman"/>
      <w:lvlText w:val="%6."/>
      <w:lvlJc w:val="right"/>
      <w:pPr>
        <w:ind w:left="5059" w:hanging="180"/>
      </w:pPr>
    </w:lvl>
    <w:lvl w:ilvl="6" w:tplc="0415000F" w:tentative="1">
      <w:start w:val="1"/>
      <w:numFmt w:val="decimal"/>
      <w:lvlText w:val="%7."/>
      <w:lvlJc w:val="left"/>
      <w:pPr>
        <w:ind w:left="5779" w:hanging="360"/>
      </w:pPr>
    </w:lvl>
    <w:lvl w:ilvl="7" w:tplc="04150019" w:tentative="1">
      <w:start w:val="1"/>
      <w:numFmt w:val="lowerLetter"/>
      <w:lvlText w:val="%8."/>
      <w:lvlJc w:val="left"/>
      <w:pPr>
        <w:ind w:left="6499" w:hanging="360"/>
      </w:pPr>
    </w:lvl>
    <w:lvl w:ilvl="8" w:tplc="0415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55" w15:restartNumberingAfterBreak="0">
    <w:nsid w:val="79076044"/>
    <w:multiLevelType w:val="multilevel"/>
    <w:tmpl w:val="962E0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9E7A08"/>
    <w:multiLevelType w:val="hybridMultilevel"/>
    <w:tmpl w:val="6F34AFD2"/>
    <w:lvl w:ilvl="0" w:tplc="49C22D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BC63277"/>
    <w:multiLevelType w:val="multilevel"/>
    <w:tmpl w:val="976EDFB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CDB29EA"/>
    <w:multiLevelType w:val="hybridMultilevel"/>
    <w:tmpl w:val="B8924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63096C"/>
    <w:multiLevelType w:val="hybridMultilevel"/>
    <w:tmpl w:val="833E60FA"/>
    <w:lvl w:ilvl="0" w:tplc="AAE491AC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3124085">
    <w:abstractNumId w:val="16"/>
  </w:num>
  <w:num w:numId="2" w16cid:durableId="524562062">
    <w:abstractNumId w:val="37"/>
  </w:num>
  <w:num w:numId="3" w16cid:durableId="1960989555">
    <w:abstractNumId w:val="34"/>
  </w:num>
  <w:num w:numId="4" w16cid:durableId="1202981812">
    <w:abstractNumId w:val="22"/>
  </w:num>
  <w:num w:numId="5" w16cid:durableId="1301348557">
    <w:abstractNumId w:val="8"/>
  </w:num>
  <w:num w:numId="6" w16cid:durableId="1603297504">
    <w:abstractNumId w:val="12"/>
  </w:num>
  <w:num w:numId="7" w16cid:durableId="146096537">
    <w:abstractNumId w:val="23"/>
  </w:num>
  <w:num w:numId="8" w16cid:durableId="1602645043">
    <w:abstractNumId w:val="44"/>
  </w:num>
  <w:num w:numId="9" w16cid:durableId="1498694816">
    <w:abstractNumId w:val="27"/>
  </w:num>
  <w:num w:numId="10" w16cid:durableId="1542746798">
    <w:abstractNumId w:val="25"/>
  </w:num>
  <w:num w:numId="11" w16cid:durableId="813258174">
    <w:abstractNumId w:val="15"/>
  </w:num>
  <w:num w:numId="12" w16cid:durableId="1864241759">
    <w:abstractNumId w:val="21"/>
  </w:num>
  <w:num w:numId="13" w16cid:durableId="1179541047">
    <w:abstractNumId w:val="56"/>
  </w:num>
  <w:num w:numId="14" w16cid:durableId="184053135">
    <w:abstractNumId w:val="52"/>
  </w:num>
  <w:num w:numId="15" w16cid:durableId="1171332115">
    <w:abstractNumId w:val="0"/>
  </w:num>
  <w:num w:numId="16" w16cid:durableId="1704859914">
    <w:abstractNumId w:val="58"/>
  </w:num>
  <w:num w:numId="17" w16cid:durableId="1142387509">
    <w:abstractNumId w:val="36"/>
  </w:num>
  <w:num w:numId="18" w16cid:durableId="1285697366">
    <w:abstractNumId w:val="46"/>
  </w:num>
  <w:num w:numId="19" w16cid:durableId="1161310610">
    <w:abstractNumId w:val="18"/>
  </w:num>
  <w:num w:numId="20" w16cid:durableId="1974364696">
    <w:abstractNumId w:val="7"/>
  </w:num>
  <w:num w:numId="21" w16cid:durableId="1790734019">
    <w:abstractNumId w:val="26"/>
  </w:num>
  <w:num w:numId="22" w16cid:durableId="1677347085">
    <w:abstractNumId w:val="31"/>
  </w:num>
  <w:num w:numId="23" w16cid:durableId="503939038">
    <w:abstractNumId w:val="1"/>
  </w:num>
  <w:num w:numId="24" w16cid:durableId="857543619">
    <w:abstractNumId w:val="38"/>
  </w:num>
  <w:num w:numId="25" w16cid:durableId="1686709372">
    <w:abstractNumId w:val="2"/>
  </w:num>
  <w:num w:numId="26" w16cid:durableId="1556312856">
    <w:abstractNumId w:val="43"/>
  </w:num>
  <w:num w:numId="27" w16cid:durableId="1100612256">
    <w:abstractNumId w:val="28"/>
  </w:num>
  <w:num w:numId="28" w16cid:durableId="413236662">
    <w:abstractNumId w:val="45"/>
  </w:num>
  <w:num w:numId="29" w16cid:durableId="1913007728">
    <w:abstractNumId w:val="53"/>
  </w:num>
  <w:num w:numId="30" w16cid:durableId="143931867">
    <w:abstractNumId w:val="13"/>
  </w:num>
  <w:num w:numId="31" w16cid:durableId="805439683">
    <w:abstractNumId w:val="32"/>
  </w:num>
  <w:num w:numId="32" w16cid:durableId="1121073294">
    <w:abstractNumId w:val="42"/>
  </w:num>
  <w:num w:numId="33" w16cid:durableId="1627731389">
    <w:abstractNumId w:val="40"/>
  </w:num>
  <w:num w:numId="34" w16cid:durableId="1977485814">
    <w:abstractNumId w:val="9"/>
  </w:num>
  <w:num w:numId="35" w16cid:durableId="264272392">
    <w:abstractNumId w:val="14"/>
  </w:num>
  <w:num w:numId="36" w16cid:durableId="1471958">
    <w:abstractNumId w:val="59"/>
  </w:num>
  <w:num w:numId="37" w16cid:durableId="1911501483">
    <w:abstractNumId w:val="24"/>
  </w:num>
  <w:num w:numId="38" w16cid:durableId="1628657460">
    <w:abstractNumId w:val="5"/>
  </w:num>
  <w:num w:numId="39" w16cid:durableId="1623805364">
    <w:abstractNumId w:val="3"/>
  </w:num>
  <w:num w:numId="40" w16cid:durableId="187761434">
    <w:abstractNumId w:val="47"/>
  </w:num>
  <w:num w:numId="41" w16cid:durableId="1796604432">
    <w:abstractNumId w:val="20"/>
  </w:num>
  <w:num w:numId="42" w16cid:durableId="1096756064">
    <w:abstractNumId w:val="51"/>
  </w:num>
  <w:num w:numId="43" w16cid:durableId="1225872772">
    <w:abstractNumId w:val="48"/>
  </w:num>
  <w:num w:numId="44" w16cid:durableId="1207719271">
    <w:abstractNumId w:val="10"/>
  </w:num>
  <w:num w:numId="45" w16cid:durableId="1912151563">
    <w:abstractNumId w:val="35"/>
  </w:num>
  <w:num w:numId="46" w16cid:durableId="407120105">
    <w:abstractNumId w:val="19"/>
  </w:num>
  <w:num w:numId="47" w16cid:durableId="471949087">
    <w:abstractNumId w:val="54"/>
  </w:num>
  <w:num w:numId="48" w16cid:durableId="102374832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96365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69187500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802714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958879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430127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038391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66258299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509437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8368701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248018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308313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058647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340A6"/>
    <w:rsid w:val="000366CD"/>
    <w:rsid w:val="000473CB"/>
    <w:rsid w:val="00050AA7"/>
    <w:rsid w:val="00050FCC"/>
    <w:rsid w:val="000536B1"/>
    <w:rsid w:val="00054115"/>
    <w:rsid w:val="00056FDB"/>
    <w:rsid w:val="00060D82"/>
    <w:rsid w:val="0006227B"/>
    <w:rsid w:val="0007731C"/>
    <w:rsid w:val="000A1A19"/>
    <w:rsid w:val="000C6141"/>
    <w:rsid w:val="000C700C"/>
    <w:rsid w:val="000D007E"/>
    <w:rsid w:val="000D2C4D"/>
    <w:rsid w:val="000E7E4E"/>
    <w:rsid w:val="000F1FD1"/>
    <w:rsid w:val="00111054"/>
    <w:rsid w:val="00116E6C"/>
    <w:rsid w:val="00123FCD"/>
    <w:rsid w:val="001363B9"/>
    <w:rsid w:val="00147305"/>
    <w:rsid w:val="00152FEC"/>
    <w:rsid w:val="00154C0B"/>
    <w:rsid w:val="001609A1"/>
    <w:rsid w:val="00162243"/>
    <w:rsid w:val="00172C95"/>
    <w:rsid w:val="00184371"/>
    <w:rsid w:val="001944AB"/>
    <w:rsid w:val="001A0E7B"/>
    <w:rsid w:val="001C6D1D"/>
    <w:rsid w:val="001D00B1"/>
    <w:rsid w:val="001E1DBE"/>
    <w:rsid w:val="001E4F39"/>
    <w:rsid w:val="001F3729"/>
    <w:rsid w:val="001F5AF7"/>
    <w:rsid w:val="0023361A"/>
    <w:rsid w:val="00234E85"/>
    <w:rsid w:val="00235879"/>
    <w:rsid w:val="00243030"/>
    <w:rsid w:val="002479A2"/>
    <w:rsid w:val="00250561"/>
    <w:rsid w:val="0025474C"/>
    <w:rsid w:val="00284DA4"/>
    <w:rsid w:val="00287C4C"/>
    <w:rsid w:val="002967B5"/>
    <w:rsid w:val="002A1DA1"/>
    <w:rsid w:val="002A6CDE"/>
    <w:rsid w:val="002A70BD"/>
    <w:rsid w:val="002B51AA"/>
    <w:rsid w:val="002E0C8D"/>
    <w:rsid w:val="00310A7F"/>
    <w:rsid w:val="003305BC"/>
    <w:rsid w:val="003426EA"/>
    <w:rsid w:val="00343389"/>
    <w:rsid w:val="00343808"/>
    <w:rsid w:val="00344CA8"/>
    <w:rsid w:val="00347F04"/>
    <w:rsid w:val="0036440C"/>
    <w:rsid w:val="003A2A1E"/>
    <w:rsid w:val="003A36CC"/>
    <w:rsid w:val="003A4D53"/>
    <w:rsid w:val="003B0ADA"/>
    <w:rsid w:val="003B2970"/>
    <w:rsid w:val="003B37BF"/>
    <w:rsid w:val="003C1279"/>
    <w:rsid w:val="003C601A"/>
    <w:rsid w:val="003D7F27"/>
    <w:rsid w:val="003E046E"/>
    <w:rsid w:val="003E29DC"/>
    <w:rsid w:val="003E5675"/>
    <w:rsid w:val="003F24E0"/>
    <w:rsid w:val="003F2B6F"/>
    <w:rsid w:val="00406DFF"/>
    <w:rsid w:val="004213CF"/>
    <w:rsid w:val="004217C2"/>
    <w:rsid w:val="00422B37"/>
    <w:rsid w:val="00427319"/>
    <w:rsid w:val="00436650"/>
    <w:rsid w:val="00454C08"/>
    <w:rsid w:val="00460D55"/>
    <w:rsid w:val="00464079"/>
    <w:rsid w:val="00477C7E"/>
    <w:rsid w:val="004874B5"/>
    <w:rsid w:val="00491354"/>
    <w:rsid w:val="004A2C8E"/>
    <w:rsid w:val="004A4221"/>
    <w:rsid w:val="004A4F9C"/>
    <w:rsid w:val="004A696C"/>
    <w:rsid w:val="004B367D"/>
    <w:rsid w:val="004C6FCD"/>
    <w:rsid w:val="004C76A9"/>
    <w:rsid w:val="004F3537"/>
    <w:rsid w:val="005064D5"/>
    <w:rsid w:val="0051769A"/>
    <w:rsid w:val="005239D8"/>
    <w:rsid w:val="0054523A"/>
    <w:rsid w:val="00546478"/>
    <w:rsid w:val="0054759B"/>
    <w:rsid w:val="005536B2"/>
    <w:rsid w:val="00562D66"/>
    <w:rsid w:val="00571F49"/>
    <w:rsid w:val="00580913"/>
    <w:rsid w:val="0058169F"/>
    <w:rsid w:val="00584698"/>
    <w:rsid w:val="005901B7"/>
    <w:rsid w:val="00592131"/>
    <w:rsid w:val="005953D5"/>
    <w:rsid w:val="00597E75"/>
    <w:rsid w:val="005B7437"/>
    <w:rsid w:val="005C2BCA"/>
    <w:rsid w:val="005C4E61"/>
    <w:rsid w:val="005E4B1C"/>
    <w:rsid w:val="005F1D1E"/>
    <w:rsid w:val="005F2424"/>
    <w:rsid w:val="005F4993"/>
    <w:rsid w:val="00623275"/>
    <w:rsid w:val="0062747E"/>
    <w:rsid w:val="006401EB"/>
    <w:rsid w:val="00653A66"/>
    <w:rsid w:val="0066247D"/>
    <w:rsid w:val="006636C9"/>
    <w:rsid w:val="006715C2"/>
    <w:rsid w:val="00681FC3"/>
    <w:rsid w:val="00683559"/>
    <w:rsid w:val="00696551"/>
    <w:rsid w:val="006A0A32"/>
    <w:rsid w:val="006A2099"/>
    <w:rsid w:val="006C5916"/>
    <w:rsid w:val="006D0FDB"/>
    <w:rsid w:val="006D4DD6"/>
    <w:rsid w:val="006E7EED"/>
    <w:rsid w:val="006F0F8C"/>
    <w:rsid w:val="0070356C"/>
    <w:rsid w:val="00707708"/>
    <w:rsid w:val="007156E8"/>
    <w:rsid w:val="0072195B"/>
    <w:rsid w:val="007305A6"/>
    <w:rsid w:val="0073240B"/>
    <w:rsid w:val="007555E6"/>
    <w:rsid w:val="00763982"/>
    <w:rsid w:val="007670BC"/>
    <w:rsid w:val="0078562D"/>
    <w:rsid w:val="007C143E"/>
    <w:rsid w:val="007C4A49"/>
    <w:rsid w:val="007C5BE3"/>
    <w:rsid w:val="007D6537"/>
    <w:rsid w:val="007E1A66"/>
    <w:rsid w:val="007E3646"/>
    <w:rsid w:val="007F3B04"/>
    <w:rsid w:val="00801864"/>
    <w:rsid w:val="00803169"/>
    <w:rsid w:val="00806CB4"/>
    <w:rsid w:val="00825981"/>
    <w:rsid w:val="008334D9"/>
    <w:rsid w:val="00837FCA"/>
    <w:rsid w:val="008448B6"/>
    <w:rsid w:val="00846DAC"/>
    <w:rsid w:val="00867538"/>
    <w:rsid w:val="00894C45"/>
    <w:rsid w:val="00894ECC"/>
    <w:rsid w:val="008A27EB"/>
    <w:rsid w:val="008A2BCF"/>
    <w:rsid w:val="008A4E8C"/>
    <w:rsid w:val="008A647A"/>
    <w:rsid w:val="008C610B"/>
    <w:rsid w:val="008F2BFF"/>
    <w:rsid w:val="008F2CE8"/>
    <w:rsid w:val="008F38EE"/>
    <w:rsid w:val="008F5FD6"/>
    <w:rsid w:val="009242DE"/>
    <w:rsid w:val="00925DCD"/>
    <w:rsid w:val="009270AF"/>
    <w:rsid w:val="0093653A"/>
    <w:rsid w:val="00945644"/>
    <w:rsid w:val="0097145B"/>
    <w:rsid w:val="009831A6"/>
    <w:rsid w:val="00983AED"/>
    <w:rsid w:val="00990CA1"/>
    <w:rsid w:val="00990F82"/>
    <w:rsid w:val="00991EE3"/>
    <w:rsid w:val="00992279"/>
    <w:rsid w:val="009A1E82"/>
    <w:rsid w:val="009A25CD"/>
    <w:rsid w:val="009A4671"/>
    <w:rsid w:val="009A6C12"/>
    <w:rsid w:val="009D1839"/>
    <w:rsid w:val="009D3B00"/>
    <w:rsid w:val="009D4794"/>
    <w:rsid w:val="009F3E5A"/>
    <w:rsid w:val="00A00B49"/>
    <w:rsid w:val="00A01C59"/>
    <w:rsid w:val="00A15E7C"/>
    <w:rsid w:val="00A520B6"/>
    <w:rsid w:val="00A60733"/>
    <w:rsid w:val="00A84530"/>
    <w:rsid w:val="00A87816"/>
    <w:rsid w:val="00A87B9B"/>
    <w:rsid w:val="00A94B38"/>
    <w:rsid w:val="00AA7970"/>
    <w:rsid w:val="00AB0E76"/>
    <w:rsid w:val="00AB2A44"/>
    <w:rsid w:val="00AC3DD4"/>
    <w:rsid w:val="00AC6697"/>
    <w:rsid w:val="00AD44B2"/>
    <w:rsid w:val="00AD45EF"/>
    <w:rsid w:val="00AE156D"/>
    <w:rsid w:val="00AE400D"/>
    <w:rsid w:val="00AE544A"/>
    <w:rsid w:val="00AF0BFA"/>
    <w:rsid w:val="00AF5DB4"/>
    <w:rsid w:val="00B0019F"/>
    <w:rsid w:val="00B12E35"/>
    <w:rsid w:val="00B1396C"/>
    <w:rsid w:val="00B155BD"/>
    <w:rsid w:val="00B16618"/>
    <w:rsid w:val="00B27E17"/>
    <w:rsid w:val="00B44E46"/>
    <w:rsid w:val="00B603F6"/>
    <w:rsid w:val="00B77167"/>
    <w:rsid w:val="00B96BAD"/>
    <w:rsid w:val="00BA3290"/>
    <w:rsid w:val="00BB264B"/>
    <w:rsid w:val="00BC17C9"/>
    <w:rsid w:val="00BC59AE"/>
    <w:rsid w:val="00BD752D"/>
    <w:rsid w:val="00BD7D5F"/>
    <w:rsid w:val="00BF306C"/>
    <w:rsid w:val="00BF7AC4"/>
    <w:rsid w:val="00C1115B"/>
    <w:rsid w:val="00C147D2"/>
    <w:rsid w:val="00C222B9"/>
    <w:rsid w:val="00C2607A"/>
    <w:rsid w:val="00C34BE7"/>
    <w:rsid w:val="00C37057"/>
    <w:rsid w:val="00C37203"/>
    <w:rsid w:val="00C527E4"/>
    <w:rsid w:val="00C547FA"/>
    <w:rsid w:val="00C62740"/>
    <w:rsid w:val="00C82079"/>
    <w:rsid w:val="00C838D4"/>
    <w:rsid w:val="00CA0DCF"/>
    <w:rsid w:val="00CA7463"/>
    <w:rsid w:val="00CB15D3"/>
    <w:rsid w:val="00CB5008"/>
    <w:rsid w:val="00CD6B3C"/>
    <w:rsid w:val="00CD741F"/>
    <w:rsid w:val="00CE71D2"/>
    <w:rsid w:val="00CF3ACB"/>
    <w:rsid w:val="00D04303"/>
    <w:rsid w:val="00D16963"/>
    <w:rsid w:val="00D16FB9"/>
    <w:rsid w:val="00D201C8"/>
    <w:rsid w:val="00D24095"/>
    <w:rsid w:val="00D251BC"/>
    <w:rsid w:val="00D63E69"/>
    <w:rsid w:val="00D81A42"/>
    <w:rsid w:val="00D95F57"/>
    <w:rsid w:val="00D97091"/>
    <w:rsid w:val="00DA78AA"/>
    <w:rsid w:val="00DB6253"/>
    <w:rsid w:val="00DE14B9"/>
    <w:rsid w:val="00DF6D17"/>
    <w:rsid w:val="00DF72BB"/>
    <w:rsid w:val="00DF787D"/>
    <w:rsid w:val="00E01BFF"/>
    <w:rsid w:val="00E0362B"/>
    <w:rsid w:val="00E04C83"/>
    <w:rsid w:val="00E10331"/>
    <w:rsid w:val="00E317F7"/>
    <w:rsid w:val="00E40CB8"/>
    <w:rsid w:val="00E456AB"/>
    <w:rsid w:val="00E702E2"/>
    <w:rsid w:val="00E85BF1"/>
    <w:rsid w:val="00E90BF8"/>
    <w:rsid w:val="00E93B08"/>
    <w:rsid w:val="00EA31EB"/>
    <w:rsid w:val="00EB0B26"/>
    <w:rsid w:val="00EB2E28"/>
    <w:rsid w:val="00ED2C05"/>
    <w:rsid w:val="00ED4B75"/>
    <w:rsid w:val="00ED7D44"/>
    <w:rsid w:val="00EE04A9"/>
    <w:rsid w:val="00EE7C2E"/>
    <w:rsid w:val="00EF19C1"/>
    <w:rsid w:val="00EF6BED"/>
    <w:rsid w:val="00F1374D"/>
    <w:rsid w:val="00F215CB"/>
    <w:rsid w:val="00F21CA2"/>
    <w:rsid w:val="00F307B0"/>
    <w:rsid w:val="00F34152"/>
    <w:rsid w:val="00F35AFF"/>
    <w:rsid w:val="00F3656C"/>
    <w:rsid w:val="00F40553"/>
    <w:rsid w:val="00F4357F"/>
    <w:rsid w:val="00F43E23"/>
    <w:rsid w:val="00F67E20"/>
    <w:rsid w:val="00F827D1"/>
    <w:rsid w:val="00F96512"/>
    <w:rsid w:val="00FB6554"/>
    <w:rsid w:val="00FD0C2D"/>
    <w:rsid w:val="00FE2605"/>
    <w:rsid w:val="00FE4298"/>
    <w:rsid w:val="00FE7746"/>
    <w:rsid w:val="00FE77D3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85D09401-995F-42F4-8042-F023FF27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character" w:styleId="Odwoaniedokomentarza">
    <w:name w:val="annotation reference"/>
    <w:basedOn w:val="Domylnaczcionkaakapitu"/>
    <w:uiPriority w:val="99"/>
    <w:semiHidden/>
    <w:unhideWhenUsed/>
    <w:rsid w:val="00C52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27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27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27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27E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B5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oradcyrestrukturyzacyjni.bi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1876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cp:lastModifiedBy>PKOROL</cp:lastModifiedBy>
  <cp:revision>2</cp:revision>
  <cp:lastPrinted>2015-12-12T04:48:00Z</cp:lastPrinted>
  <dcterms:created xsi:type="dcterms:W3CDTF">2023-05-31T12:55:00Z</dcterms:created>
  <dcterms:modified xsi:type="dcterms:W3CDTF">2023-05-31T12:55:00Z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